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ind w:firstLine="720"/>
        <w:jc w:val="both"/>
        <w:rPr>
          <w:rFonts w:ascii="Arial" w:hAnsi="Arial" w:cs="Arial"/>
          <w:sz w:val="20"/>
          <w:szCs w:val="20"/>
          <w:lang w:val="sr-Cyrl-CS"/>
        </w:rPr>
      </w:pPr>
      <w:r>
        <w:rPr>
          <w:rFonts w:ascii="Arial" w:hAnsi="Arial" w:cs="Arial"/>
          <w:sz w:val="20"/>
          <w:szCs w:val="20"/>
          <w:lang w:val="sr-Cyrl-CS"/>
        </w:rPr>
        <w:t xml:space="preserve">На основу </w:t>
      </w:r>
      <w:r>
        <w:rPr>
          <w:rFonts w:ascii="Arial" w:hAnsi="Arial" w:cs="Arial"/>
          <w:lang w:val="sr-Cyrl-CS"/>
        </w:rPr>
        <w:t>чл</w:t>
      </w:r>
      <w:r>
        <w:rPr>
          <w:rFonts w:ascii="Arial" w:hAnsi="Arial" w:cs="Arial"/>
          <w:sz w:val="20"/>
          <w:szCs w:val="20"/>
          <w:lang w:val="sr-Cyrl-CS"/>
        </w:rPr>
        <w:t xml:space="preserve">. 33 тачка 1 а у вези са чл. 45 тачка 9 Закона о локалној самоуправи (''Сл. лист РЦГ'', бр. </w:t>
      </w:r>
      <w:r>
        <w:rPr>
          <w:rFonts w:ascii="Arial" w:hAnsi="Arial" w:cs="Arial"/>
          <w:sz w:val="20"/>
          <w:szCs w:val="20"/>
          <w:lang w:val="sr-Latn-CS"/>
        </w:rPr>
        <w:t xml:space="preserve">42/03, 28/04, 75/05 </w:t>
      </w:r>
      <w:r>
        <w:rPr>
          <w:rFonts w:ascii="Arial" w:hAnsi="Arial" w:cs="Arial"/>
          <w:sz w:val="20"/>
          <w:szCs w:val="20"/>
          <w:lang w:val="sr-Cyrl-CS"/>
        </w:rPr>
        <w:t>и</w:t>
      </w:r>
      <w:r>
        <w:rPr>
          <w:rFonts w:ascii="Arial" w:hAnsi="Arial" w:cs="Arial"/>
          <w:sz w:val="20"/>
          <w:szCs w:val="20"/>
          <w:lang w:val="sr-Latn-CS"/>
        </w:rPr>
        <w:t xml:space="preserve"> 13/06</w:t>
      </w:r>
      <w:r>
        <w:rPr>
          <w:rFonts w:ascii="Arial" w:hAnsi="Arial" w:cs="Arial"/>
          <w:sz w:val="20"/>
          <w:szCs w:val="20"/>
          <w:lang w:val="sr-Cyrl-CS"/>
        </w:rPr>
        <w:t xml:space="preserve"> и ''Сл. лист ЦГ'', бр. </w:t>
      </w:r>
      <w:r>
        <w:rPr>
          <w:rFonts w:ascii="Arial" w:hAnsi="Arial" w:cs="Arial"/>
          <w:sz w:val="20"/>
          <w:szCs w:val="20"/>
          <w:lang w:val="sr-Latn-CS"/>
        </w:rPr>
        <w:t xml:space="preserve">88/09, 3/10, 73/10, 38/12 </w:t>
      </w:r>
      <w:r>
        <w:rPr>
          <w:rFonts w:ascii="Arial" w:hAnsi="Arial" w:cs="Arial"/>
          <w:sz w:val="20"/>
          <w:szCs w:val="20"/>
          <w:lang w:val="sr-Cyrl-CS"/>
        </w:rPr>
        <w:t>и</w:t>
      </w:r>
      <w:r>
        <w:rPr>
          <w:rFonts w:ascii="Arial" w:hAnsi="Arial" w:cs="Arial"/>
          <w:sz w:val="20"/>
          <w:szCs w:val="20"/>
          <w:lang w:val="sr-Latn-CS"/>
        </w:rPr>
        <w:t xml:space="preserve"> 10/14), </w:t>
      </w:r>
      <w:r>
        <w:rPr>
          <w:rFonts w:ascii="Arial" w:hAnsi="Arial" w:cs="Arial"/>
          <w:sz w:val="20"/>
          <w:szCs w:val="20"/>
          <w:lang w:val="sr-Cyrl-CS"/>
        </w:rPr>
        <w:t>чл. 34 ст. 1 и ст. 3 и чл. 40 ст. 2 тачка 3 Закона о државној имовини (''Сл. лист ЦГ'', бр. 21/09 и 40/11) и чл. 38 тачка 9 Статута општине Жабљак (''Сл. лист РЦГ - општински прописи'', бр.</w:t>
      </w:r>
      <w:r>
        <w:rPr>
          <w:rFonts w:ascii="Arial" w:hAnsi="Arial" w:cs="Arial"/>
          <w:sz w:val="20"/>
          <w:szCs w:val="20"/>
          <w:lang w:val="sr-Latn-CS"/>
        </w:rPr>
        <w:t xml:space="preserve"> 9/05 </w:t>
      </w:r>
      <w:r>
        <w:rPr>
          <w:rFonts w:ascii="Arial" w:hAnsi="Arial" w:cs="Arial"/>
          <w:sz w:val="20"/>
          <w:szCs w:val="20"/>
          <w:lang w:val="sr-Cyrl-CS"/>
        </w:rPr>
        <w:t xml:space="preserve">и </w:t>
      </w:r>
      <w:r>
        <w:rPr>
          <w:rFonts w:ascii="Arial" w:hAnsi="Arial" w:cs="Arial"/>
          <w:sz w:val="20"/>
          <w:szCs w:val="20"/>
          <w:lang w:val="sr-Latn-CS"/>
        </w:rPr>
        <w:t>23/07</w:t>
      </w:r>
      <w:r>
        <w:rPr>
          <w:rFonts w:ascii="Arial" w:hAnsi="Arial" w:cs="Arial"/>
          <w:sz w:val="20"/>
          <w:szCs w:val="20"/>
          <w:lang w:val="sr-Cyrl-CS"/>
        </w:rPr>
        <w:t xml:space="preserve"> и ''Сл. лист ЦГ - Општински прописи'', бр.</w:t>
      </w:r>
      <w:r>
        <w:rPr>
          <w:rFonts w:ascii="Arial" w:hAnsi="Arial" w:cs="Arial"/>
          <w:sz w:val="20"/>
          <w:szCs w:val="20"/>
          <w:lang w:val="sr-Latn-CS"/>
        </w:rPr>
        <w:t xml:space="preserve"> 3/11 </w:t>
      </w:r>
      <w:r>
        <w:rPr>
          <w:rFonts w:ascii="Arial" w:hAnsi="Arial" w:cs="Arial"/>
          <w:sz w:val="20"/>
          <w:szCs w:val="20"/>
          <w:lang w:val="sr-Cyrl-CS"/>
        </w:rPr>
        <w:t>и</w:t>
      </w:r>
      <w:r>
        <w:rPr>
          <w:rFonts w:ascii="Arial" w:hAnsi="Arial" w:cs="Arial"/>
          <w:sz w:val="20"/>
          <w:szCs w:val="20"/>
          <w:lang w:val="sr-Latn-CS"/>
        </w:rPr>
        <w:t xml:space="preserve"> 7/14</w:t>
      </w:r>
      <w:r>
        <w:rPr>
          <w:rFonts w:ascii="Arial" w:hAnsi="Arial" w:cs="Arial"/>
          <w:sz w:val="20"/>
          <w:szCs w:val="20"/>
          <w:lang w:val="sr-Cyrl-CS"/>
        </w:rPr>
        <w:t>),</w:t>
      </w:r>
      <w:r>
        <w:rPr>
          <w:rFonts w:ascii="Arial" w:hAnsi="Arial" w:cs="Arial"/>
          <w:sz w:val="20"/>
          <w:szCs w:val="20"/>
          <w:lang w:val="sr-Latn-CS"/>
        </w:rPr>
        <w:t xml:space="preserve"> </w:t>
      </w:r>
      <w:r>
        <w:rPr>
          <w:rFonts w:ascii="Arial" w:hAnsi="Arial" w:cs="Arial"/>
          <w:b/>
          <w:sz w:val="20"/>
          <w:szCs w:val="20"/>
          <w:lang w:val="sr-Cyrl-CS"/>
        </w:rPr>
        <w:t>Скупштина општине Жабљак</w:t>
      </w:r>
      <w:r>
        <w:rPr>
          <w:rFonts w:ascii="Arial" w:hAnsi="Arial" w:cs="Arial"/>
          <w:sz w:val="20"/>
          <w:szCs w:val="20"/>
          <w:lang w:val="sr-Cyrl-CS"/>
        </w:rPr>
        <w:t xml:space="preserve">, на сједници одржаној </w:t>
      </w:r>
      <w:r>
        <w:rPr>
          <w:rFonts w:ascii="Arial" w:hAnsi="Arial" w:cs="Arial"/>
          <w:sz w:val="20"/>
          <w:szCs w:val="20"/>
          <w:lang w:val="sr-Latn-CS"/>
        </w:rPr>
        <w:t>26.10.</w:t>
      </w:r>
      <w:r>
        <w:rPr>
          <w:rFonts w:ascii="Arial" w:hAnsi="Arial" w:cs="Arial"/>
          <w:sz w:val="20"/>
          <w:szCs w:val="20"/>
          <w:lang w:val="sr-Cyrl-CS"/>
        </w:rPr>
        <w:t xml:space="preserve">2017. године, </w:t>
      </w:r>
      <w:r>
        <w:rPr>
          <w:rFonts w:ascii="Arial" w:hAnsi="Arial" w:cs="Arial"/>
          <w:b/>
          <w:sz w:val="20"/>
          <w:szCs w:val="20"/>
          <w:lang w:val="sr-Cyrl-CS"/>
        </w:rPr>
        <w:t>донијела је</w:t>
      </w:r>
      <w:r>
        <w:rPr>
          <w:rFonts w:ascii="Arial" w:hAnsi="Arial" w:cs="Arial"/>
          <w:sz w:val="20"/>
          <w:szCs w:val="20"/>
          <w:lang w:val="sr-Cyrl-CS"/>
        </w:rPr>
        <w:t xml:space="preserve"> </w:t>
      </w:r>
    </w:p>
    <w:p>
      <w:pPr>
        <w:pStyle w:val="4"/>
        <w:jc w:val="both"/>
        <w:rPr>
          <w:rFonts w:ascii="Arial" w:hAnsi="Arial" w:cs="Arial"/>
          <w:sz w:val="20"/>
          <w:szCs w:val="20"/>
          <w:lang w:val="sr-Cyrl-CS"/>
        </w:rPr>
      </w:pPr>
    </w:p>
    <w:p>
      <w:pPr>
        <w:pStyle w:val="4"/>
        <w:jc w:val="center"/>
        <w:rPr>
          <w:rFonts w:ascii="Arial" w:hAnsi="Arial" w:cs="Arial"/>
          <w:b/>
          <w:sz w:val="20"/>
          <w:szCs w:val="20"/>
          <w:lang w:val="sr-Cyrl-CS"/>
        </w:rPr>
      </w:pPr>
      <w:r>
        <w:rPr>
          <w:rFonts w:ascii="Arial" w:hAnsi="Arial" w:cs="Arial"/>
          <w:b/>
          <w:sz w:val="20"/>
          <w:szCs w:val="20"/>
          <w:lang w:val="sr-Cyrl-CS"/>
        </w:rPr>
        <w:t>О</w:t>
      </w:r>
      <w:r>
        <w:rPr>
          <w:rFonts w:ascii="Arial" w:hAnsi="Arial" w:cs="Arial"/>
          <w:b/>
          <w:sz w:val="20"/>
          <w:szCs w:val="20"/>
          <w:lang w:val="sr-Latn-CS"/>
        </w:rPr>
        <w:t xml:space="preserve"> </w:t>
      </w:r>
      <w:r>
        <w:rPr>
          <w:rFonts w:ascii="Arial" w:hAnsi="Arial" w:cs="Arial"/>
          <w:b/>
          <w:sz w:val="20"/>
          <w:szCs w:val="20"/>
          <w:lang w:val="sr-Cyrl-CS"/>
        </w:rPr>
        <w:t>Д</w:t>
      </w:r>
      <w:r>
        <w:rPr>
          <w:rFonts w:ascii="Arial" w:hAnsi="Arial" w:cs="Arial"/>
          <w:b/>
          <w:sz w:val="20"/>
          <w:szCs w:val="20"/>
          <w:lang w:val="sr-Latn-CS"/>
        </w:rPr>
        <w:t xml:space="preserve"> </w:t>
      </w:r>
      <w:r>
        <w:rPr>
          <w:rFonts w:ascii="Arial" w:hAnsi="Arial" w:cs="Arial"/>
          <w:b/>
          <w:sz w:val="20"/>
          <w:szCs w:val="20"/>
          <w:lang w:val="sr-Cyrl-CS"/>
        </w:rPr>
        <w:t>Л</w:t>
      </w:r>
      <w:r>
        <w:rPr>
          <w:rFonts w:ascii="Arial" w:hAnsi="Arial" w:cs="Arial"/>
          <w:b/>
          <w:sz w:val="20"/>
          <w:szCs w:val="20"/>
          <w:lang w:val="sr-Latn-CS"/>
        </w:rPr>
        <w:t xml:space="preserve"> </w:t>
      </w:r>
      <w:r>
        <w:rPr>
          <w:rFonts w:ascii="Arial" w:hAnsi="Arial" w:cs="Arial"/>
          <w:b/>
          <w:sz w:val="20"/>
          <w:szCs w:val="20"/>
          <w:lang w:val="sr-Cyrl-CS"/>
        </w:rPr>
        <w:t>У</w:t>
      </w:r>
      <w:r>
        <w:rPr>
          <w:rFonts w:ascii="Arial" w:hAnsi="Arial" w:cs="Arial"/>
          <w:b/>
          <w:sz w:val="20"/>
          <w:szCs w:val="20"/>
          <w:lang w:val="sr-Latn-CS"/>
        </w:rPr>
        <w:t xml:space="preserve"> </w:t>
      </w:r>
      <w:r>
        <w:rPr>
          <w:rFonts w:ascii="Arial" w:hAnsi="Arial" w:cs="Arial"/>
          <w:b/>
          <w:sz w:val="20"/>
          <w:szCs w:val="20"/>
          <w:lang w:val="sr-Cyrl-CS"/>
        </w:rPr>
        <w:t>К</w:t>
      </w:r>
      <w:r>
        <w:rPr>
          <w:rFonts w:ascii="Arial" w:hAnsi="Arial" w:cs="Arial"/>
          <w:b/>
          <w:sz w:val="20"/>
          <w:szCs w:val="20"/>
          <w:lang w:val="sr-Latn-CS"/>
        </w:rPr>
        <w:t xml:space="preserve"> </w:t>
      </w:r>
      <w:r>
        <w:rPr>
          <w:rFonts w:ascii="Arial" w:hAnsi="Arial" w:cs="Arial"/>
          <w:b/>
          <w:sz w:val="20"/>
          <w:szCs w:val="20"/>
          <w:lang w:val="sr-Cyrl-CS"/>
        </w:rPr>
        <w:t>У</w:t>
      </w:r>
    </w:p>
    <w:p>
      <w:pPr>
        <w:pStyle w:val="4"/>
        <w:jc w:val="center"/>
        <w:rPr>
          <w:rFonts w:ascii="Arial" w:hAnsi="Arial" w:cs="Arial"/>
          <w:b/>
          <w:sz w:val="20"/>
          <w:szCs w:val="20"/>
          <w:lang w:val="sr-Latn-CS"/>
        </w:rPr>
      </w:pPr>
      <w:r>
        <w:rPr>
          <w:rFonts w:ascii="Arial" w:hAnsi="Arial" w:cs="Arial"/>
          <w:b/>
          <w:sz w:val="20"/>
          <w:szCs w:val="20"/>
          <w:lang w:val="sr-Cyrl-CS"/>
        </w:rPr>
        <w:t>о преносу права својине на грађевинском земљишту на Томчић Дару</w:t>
      </w:r>
    </w:p>
    <w:p>
      <w:pPr>
        <w:pStyle w:val="4"/>
        <w:jc w:val="center"/>
        <w:rPr>
          <w:rFonts w:ascii="Arial" w:hAnsi="Arial" w:cs="Arial"/>
          <w:b/>
          <w:sz w:val="20"/>
          <w:szCs w:val="20"/>
          <w:lang w:val="sr-Latn-CS"/>
        </w:rPr>
      </w:pPr>
    </w:p>
    <w:p>
      <w:pPr>
        <w:pStyle w:val="4"/>
        <w:jc w:val="both"/>
        <w:rPr>
          <w:rFonts w:ascii="Arial" w:hAnsi="Arial" w:cs="Arial"/>
          <w:b/>
          <w:sz w:val="20"/>
          <w:szCs w:val="20"/>
          <w:lang w:val="sr-Latn-CS"/>
        </w:rPr>
      </w:pPr>
    </w:p>
    <w:p>
      <w:pPr>
        <w:pStyle w:val="4"/>
        <w:jc w:val="center"/>
        <w:rPr>
          <w:rFonts w:ascii="Arial" w:hAnsi="Arial" w:cs="Arial"/>
          <w:b/>
          <w:sz w:val="20"/>
          <w:szCs w:val="20"/>
          <w:lang w:val="sr-Cyrl-CS"/>
        </w:rPr>
      </w:pPr>
      <w:r>
        <w:rPr>
          <w:rFonts w:ascii="Arial" w:hAnsi="Arial" w:cs="Arial"/>
          <w:b/>
          <w:sz w:val="20"/>
          <w:szCs w:val="20"/>
          <w:lang w:val="sr-Cyrl-CS"/>
        </w:rPr>
        <w:t>Члан 1</w:t>
      </w:r>
    </w:p>
    <w:p>
      <w:pPr>
        <w:pStyle w:val="4"/>
        <w:jc w:val="both"/>
        <w:rPr>
          <w:rFonts w:ascii="Arial" w:hAnsi="Arial" w:cs="Arial"/>
          <w:sz w:val="20"/>
          <w:szCs w:val="20"/>
          <w:lang w:val="sr-Latn-CS"/>
        </w:rPr>
      </w:pPr>
    </w:p>
    <w:p>
      <w:pPr>
        <w:pStyle w:val="4"/>
        <w:ind w:firstLine="720"/>
        <w:jc w:val="both"/>
        <w:rPr>
          <w:rFonts w:ascii="Arial" w:hAnsi="Arial" w:cs="Arial"/>
          <w:sz w:val="20"/>
          <w:szCs w:val="20"/>
          <w:lang w:val="sr-Latn-CS"/>
        </w:rPr>
      </w:pPr>
      <w:r>
        <w:rPr>
          <w:rFonts w:ascii="Arial" w:hAnsi="Arial" w:cs="Arial"/>
          <w:b/>
          <w:sz w:val="20"/>
          <w:szCs w:val="20"/>
          <w:lang w:val="sr-Cyrl-CS"/>
        </w:rPr>
        <w:t>ПРЕНОСИ СЕ</w:t>
      </w:r>
      <w:r>
        <w:rPr>
          <w:rFonts w:ascii="Arial" w:hAnsi="Arial" w:cs="Arial"/>
          <w:sz w:val="20"/>
          <w:szCs w:val="20"/>
          <w:lang w:val="sr-Cyrl-CS"/>
        </w:rPr>
        <w:t xml:space="preserve"> уз накнаду право својине на грађевинском земљишту на </w:t>
      </w:r>
      <w:r>
        <w:rPr>
          <w:rFonts w:ascii="Arial" w:hAnsi="Arial" w:cs="Arial"/>
          <w:b/>
          <w:sz w:val="20"/>
          <w:szCs w:val="20"/>
          <w:lang w:val="sr-Cyrl-CS"/>
        </w:rPr>
        <w:t xml:space="preserve">ТОМЧИЋ ДАРУ </w:t>
      </w:r>
      <w:r>
        <w:rPr>
          <w:rFonts w:ascii="Arial" w:hAnsi="Arial" w:cs="Arial"/>
          <w:sz w:val="20"/>
          <w:szCs w:val="20"/>
          <w:lang w:val="sr-Cyrl-CS"/>
        </w:rPr>
        <w:t xml:space="preserve">из </w:t>
      </w:r>
      <w:r>
        <w:rPr>
          <w:rFonts w:ascii="Arial" w:hAnsi="Arial" w:cs="Arial"/>
          <w:b/>
          <w:sz w:val="20"/>
          <w:szCs w:val="20"/>
          <w:lang w:val="sr-Cyrl-CS"/>
        </w:rPr>
        <w:t>Подгорице</w:t>
      </w:r>
      <w:r>
        <w:rPr>
          <w:rFonts w:ascii="Arial" w:hAnsi="Arial" w:cs="Arial"/>
          <w:sz w:val="20"/>
          <w:szCs w:val="20"/>
          <w:lang w:val="sr-Cyrl-CS"/>
        </w:rPr>
        <w:t>, ул. Краља Николе бр. 31</w:t>
      </w:r>
      <w:r>
        <w:rPr>
          <w:rFonts w:ascii="Arial" w:hAnsi="Arial" w:cs="Arial"/>
          <w:sz w:val="20"/>
          <w:szCs w:val="20"/>
          <w:lang w:val="sr-Latn-CS"/>
        </w:rPr>
        <w:t>9</w:t>
      </w:r>
      <w:r>
        <w:rPr>
          <w:rFonts w:ascii="Arial" w:hAnsi="Arial" w:cs="Arial"/>
          <w:sz w:val="20"/>
          <w:szCs w:val="20"/>
          <w:lang w:val="sr-Cyrl-CS"/>
        </w:rPr>
        <w:t xml:space="preserve">, ради докомплетирања урбанистичке парцеле број </w:t>
      </w:r>
      <w:r>
        <w:rPr>
          <w:rFonts w:ascii="Arial" w:hAnsi="Arial" w:cs="Arial"/>
          <w:b/>
          <w:sz w:val="20"/>
          <w:szCs w:val="20"/>
          <w:lang w:val="sr-Latn-CS"/>
        </w:rPr>
        <w:softHyphen/>
      </w:r>
      <w:r>
        <w:rPr>
          <w:rFonts w:ascii="Arial" w:hAnsi="Arial" w:cs="Arial"/>
          <w:b/>
          <w:sz w:val="20"/>
          <w:szCs w:val="20"/>
          <w:lang w:val="sr-Latn-CS"/>
        </w:rPr>
        <w:t>476</w:t>
      </w:r>
      <w:r>
        <w:rPr>
          <w:rFonts w:ascii="Arial" w:hAnsi="Arial" w:cs="Arial"/>
          <w:sz w:val="20"/>
          <w:szCs w:val="20"/>
          <w:lang w:val="sr-Cyrl-CS"/>
        </w:rPr>
        <w:t xml:space="preserve"> у обухвату Детаљног урбанистичког плана Жабљак која припада </w:t>
      </w:r>
      <w:r>
        <w:rPr>
          <w:rFonts w:ascii="Arial" w:hAnsi="Arial" w:cs="Arial"/>
          <w:b/>
          <w:sz w:val="20"/>
          <w:szCs w:val="20"/>
          <w:lang w:val="sr-Cyrl-CS"/>
        </w:rPr>
        <w:t>1А</w:t>
      </w:r>
      <w:r>
        <w:rPr>
          <w:rFonts w:ascii="Arial" w:hAnsi="Arial" w:cs="Arial"/>
          <w:sz w:val="20"/>
          <w:szCs w:val="20"/>
          <w:lang w:val="sr-Cyrl-CS"/>
        </w:rPr>
        <w:t xml:space="preserve"> грађевинској зони, и то:</w:t>
      </w:r>
    </w:p>
    <w:p>
      <w:pPr>
        <w:pStyle w:val="4"/>
        <w:jc w:val="both"/>
        <w:rPr>
          <w:rFonts w:ascii="Arial" w:hAnsi="Arial" w:cs="Arial"/>
          <w:sz w:val="20"/>
          <w:szCs w:val="20"/>
          <w:lang w:val="sr-Cyrl-CS"/>
        </w:rPr>
      </w:pPr>
    </w:p>
    <w:p>
      <w:pPr>
        <w:pStyle w:val="4"/>
        <w:ind w:firstLine="720"/>
        <w:jc w:val="both"/>
        <w:rPr>
          <w:rFonts w:ascii="Arial" w:hAnsi="Arial" w:cs="Arial"/>
          <w:sz w:val="20"/>
          <w:szCs w:val="20"/>
          <w:lang w:val="sr-Cyrl-CS"/>
        </w:rPr>
      </w:pPr>
      <w:r>
        <w:rPr>
          <w:rFonts w:ascii="Arial" w:hAnsi="Arial" w:cs="Arial"/>
          <w:sz w:val="20"/>
          <w:szCs w:val="20"/>
          <w:lang w:val="sr-Latn-CS"/>
        </w:rPr>
        <w:t>-</w:t>
      </w:r>
      <w:r>
        <w:rPr>
          <w:rFonts w:ascii="Arial" w:hAnsi="Arial" w:cs="Arial"/>
          <w:sz w:val="20"/>
          <w:szCs w:val="20"/>
          <w:lang w:val="sr-Cyrl-CS"/>
        </w:rPr>
        <w:t xml:space="preserve"> на дијелу катастарске парцеле број </w:t>
      </w:r>
      <w:r>
        <w:rPr>
          <w:rFonts w:ascii="Arial" w:hAnsi="Arial" w:cs="Arial"/>
          <w:b/>
          <w:sz w:val="20"/>
          <w:szCs w:val="20"/>
          <w:lang w:val="sr-Cyrl-CS"/>
        </w:rPr>
        <w:t>3</w:t>
      </w:r>
      <w:r>
        <w:rPr>
          <w:rFonts w:ascii="Arial" w:hAnsi="Arial" w:cs="Arial"/>
          <w:b/>
          <w:sz w:val="20"/>
          <w:szCs w:val="20"/>
          <w:lang w:val="sr-Latn-CS"/>
        </w:rPr>
        <w:t>428</w:t>
      </w:r>
      <w:r>
        <w:rPr>
          <w:rFonts w:ascii="Arial" w:hAnsi="Arial" w:cs="Arial"/>
          <w:sz w:val="20"/>
          <w:szCs w:val="20"/>
          <w:lang w:val="sr-Cyrl-CS"/>
        </w:rPr>
        <w:t xml:space="preserve"> површине </w:t>
      </w:r>
      <w:r>
        <w:rPr>
          <w:rFonts w:ascii="Arial" w:hAnsi="Arial" w:cs="Arial"/>
          <w:b/>
          <w:sz w:val="20"/>
          <w:szCs w:val="20"/>
          <w:lang w:val="sr-Latn-CS"/>
        </w:rPr>
        <w:t>38</w:t>
      </w:r>
      <w:r>
        <w:rPr>
          <w:rFonts w:ascii="Arial" w:hAnsi="Arial" w:cs="Arial"/>
          <w:b/>
          <w:sz w:val="20"/>
          <w:szCs w:val="20"/>
          <w:lang w:val="sr-Cyrl-CS"/>
        </w:rPr>
        <w:t xml:space="preserve"> м²</w:t>
      </w:r>
      <w:r>
        <w:rPr>
          <w:rFonts w:ascii="Arial" w:hAnsi="Arial" w:cs="Arial"/>
          <w:sz w:val="20"/>
          <w:szCs w:val="20"/>
          <w:lang w:val="sr-Cyrl-CS"/>
        </w:rPr>
        <w:t xml:space="preserve"> уписаној у листу непокретности број </w:t>
      </w:r>
      <w:r>
        <w:rPr>
          <w:rFonts w:ascii="Arial" w:hAnsi="Arial" w:cs="Arial"/>
          <w:b/>
          <w:sz w:val="20"/>
          <w:szCs w:val="20"/>
          <w:lang w:val="sr-Latn-CS"/>
        </w:rPr>
        <w:t>536</w:t>
      </w:r>
      <w:r>
        <w:rPr>
          <w:rFonts w:ascii="Arial" w:hAnsi="Arial" w:cs="Arial"/>
          <w:b/>
          <w:sz w:val="20"/>
          <w:szCs w:val="20"/>
          <w:lang w:val="sr-Cyrl-CS"/>
        </w:rPr>
        <w:t>, КО Жабљак 1</w:t>
      </w:r>
      <w:r>
        <w:rPr>
          <w:rFonts w:ascii="Arial" w:hAnsi="Arial" w:cs="Arial"/>
          <w:sz w:val="20"/>
          <w:szCs w:val="20"/>
          <w:lang w:val="sr-Cyrl-CS"/>
        </w:rPr>
        <w:t xml:space="preserve">, на Томчић Дару са забиљежбом терета и ограничења - забрана отуђења и оптерећења на површини од </w:t>
      </w:r>
      <w:r>
        <w:rPr>
          <w:rFonts w:ascii="Arial" w:hAnsi="Arial" w:cs="Arial"/>
          <w:b/>
          <w:sz w:val="20"/>
          <w:szCs w:val="20"/>
          <w:lang w:val="sr-Cyrl-CS"/>
        </w:rPr>
        <w:t>38 м²</w:t>
      </w:r>
      <w:r>
        <w:rPr>
          <w:rFonts w:ascii="Arial" w:hAnsi="Arial" w:cs="Arial"/>
          <w:sz w:val="20"/>
          <w:szCs w:val="20"/>
          <w:lang w:val="sr-Cyrl-CS"/>
        </w:rPr>
        <w:t xml:space="preserve">, а који дио је у својини </w:t>
      </w:r>
      <w:r>
        <w:rPr>
          <w:rFonts w:ascii="Arial" w:hAnsi="Arial" w:cs="Arial"/>
          <w:b/>
          <w:sz w:val="20"/>
          <w:szCs w:val="20"/>
          <w:lang w:val="sr-Cyrl-CS"/>
        </w:rPr>
        <w:t xml:space="preserve">Црне Горе </w:t>
      </w:r>
      <w:r>
        <w:rPr>
          <w:rFonts w:ascii="Arial" w:hAnsi="Arial" w:cs="Arial"/>
          <w:sz w:val="20"/>
          <w:szCs w:val="20"/>
          <w:lang w:val="sr-Cyrl-CS"/>
        </w:rPr>
        <w:t xml:space="preserve">са правом располагања </w:t>
      </w:r>
      <w:r>
        <w:rPr>
          <w:rFonts w:ascii="Arial" w:hAnsi="Arial" w:cs="Arial"/>
          <w:b/>
          <w:sz w:val="20"/>
          <w:szCs w:val="20"/>
          <w:lang w:val="sr-Cyrl-CS"/>
        </w:rPr>
        <w:t>Општине Жабљак</w:t>
      </w:r>
      <w:r>
        <w:rPr>
          <w:rFonts w:ascii="Arial" w:hAnsi="Arial" w:cs="Arial"/>
          <w:sz w:val="20"/>
          <w:szCs w:val="20"/>
          <w:lang w:val="sr-Cyrl-CS"/>
        </w:rPr>
        <w:t>.</w:t>
      </w:r>
    </w:p>
    <w:p>
      <w:pPr>
        <w:pStyle w:val="4"/>
        <w:ind w:firstLine="720"/>
        <w:jc w:val="both"/>
        <w:rPr>
          <w:rFonts w:ascii="Arial" w:hAnsi="Arial" w:cs="Arial"/>
          <w:sz w:val="20"/>
          <w:szCs w:val="20"/>
          <w:lang w:val="sr-Cyrl-CS"/>
        </w:rPr>
      </w:pPr>
      <w:r>
        <w:rPr>
          <w:rFonts w:ascii="Arial" w:hAnsi="Arial" w:cs="Arial"/>
          <w:sz w:val="20"/>
          <w:szCs w:val="20"/>
          <w:lang w:val="sr-Cyrl-CS"/>
        </w:rPr>
        <w:t xml:space="preserve"> </w:t>
      </w:r>
    </w:p>
    <w:p>
      <w:pPr>
        <w:pStyle w:val="4"/>
        <w:jc w:val="center"/>
        <w:rPr>
          <w:rFonts w:ascii="Arial" w:hAnsi="Arial" w:cs="Arial"/>
          <w:b/>
          <w:sz w:val="20"/>
          <w:szCs w:val="20"/>
          <w:lang w:val="sr-Latn-CS"/>
        </w:rPr>
      </w:pPr>
      <w:r>
        <w:rPr>
          <w:rFonts w:ascii="Arial" w:hAnsi="Arial" w:cs="Arial"/>
          <w:b/>
          <w:sz w:val="20"/>
          <w:szCs w:val="20"/>
          <w:lang w:val="sr-Cyrl-CS"/>
        </w:rPr>
        <w:t>Члан</w:t>
      </w:r>
      <w:r>
        <w:rPr>
          <w:rFonts w:ascii="Arial" w:hAnsi="Arial" w:cs="Arial"/>
          <w:b/>
          <w:sz w:val="20"/>
          <w:szCs w:val="20"/>
          <w:lang w:val="sr-Latn-CS"/>
        </w:rPr>
        <w:t xml:space="preserve"> 2</w:t>
      </w:r>
    </w:p>
    <w:p>
      <w:pPr>
        <w:pStyle w:val="4"/>
        <w:jc w:val="both"/>
        <w:rPr>
          <w:rFonts w:ascii="Arial" w:hAnsi="Arial" w:cs="Arial"/>
          <w:b/>
          <w:sz w:val="20"/>
          <w:szCs w:val="20"/>
          <w:lang w:val="sr-Latn-CS"/>
        </w:rPr>
      </w:pPr>
    </w:p>
    <w:p>
      <w:pPr>
        <w:pStyle w:val="4"/>
        <w:ind w:firstLine="720"/>
        <w:jc w:val="both"/>
        <w:rPr>
          <w:rFonts w:ascii="Arial" w:hAnsi="Arial" w:cs="Arial"/>
          <w:sz w:val="20"/>
          <w:szCs w:val="20"/>
          <w:lang w:val="sr-Cyrl-CS"/>
        </w:rPr>
      </w:pPr>
      <w:r>
        <w:rPr>
          <w:rFonts w:ascii="Arial" w:hAnsi="Arial" w:cs="Arial"/>
          <w:sz w:val="20"/>
          <w:szCs w:val="20"/>
          <w:lang w:val="sr-Cyrl-CS"/>
        </w:rPr>
        <w:t xml:space="preserve">Обавезује се Томчић Дара да плати Општини Жабљак накнаду за грађевинско земљиште из члана 1 ове одлуке у висини прописаној Одлуком о накнади за докомплетирање урбанистичких парцела (''Сл. лист ЦГ - Општински прописи'', бр. </w:t>
      </w:r>
      <w:r>
        <w:rPr>
          <w:rFonts w:ascii="Arial" w:hAnsi="Arial" w:cs="Arial"/>
          <w:sz w:val="20"/>
          <w:szCs w:val="20"/>
          <w:lang w:val="sr-Latn-CS"/>
        </w:rPr>
        <w:t xml:space="preserve">31/14, 1/16 </w:t>
      </w:r>
      <w:r>
        <w:rPr>
          <w:rFonts w:ascii="Arial" w:hAnsi="Arial" w:cs="Arial"/>
          <w:sz w:val="20"/>
          <w:szCs w:val="20"/>
          <w:lang w:val="sr-Cyrl-CS"/>
        </w:rPr>
        <w:t>и</w:t>
      </w:r>
      <w:r>
        <w:rPr>
          <w:rFonts w:ascii="Arial" w:hAnsi="Arial" w:cs="Arial"/>
          <w:sz w:val="20"/>
          <w:szCs w:val="20"/>
          <w:lang w:val="sr-Latn-CS"/>
        </w:rPr>
        <w:t xml:space="preserve"> 45/16)</w:t>
      </w:r>
      <w:r>
        <w:rPr>
          <w:rFonts w:ascii="Arial" w:hAnsi="Arial" w:cs="Arial"/>
          <w:sz w:val="20"/>
          <w:szCs w:val="20"/>
          <w:lang w:val="sr-Cyrl-CS"/>
        </w:rPr>
        <w:t>.</w:t>
      </w:r>
    </w:p>
    <w:p>
      <w:pPr>
        <w:pStyle w:val="4"/>
        <w:ind w:firstLine="720"/>
        <w:jc w:val="both"/>
        <w:rPr>
          <w:rFonts w:ascii="Arial" w:hAnsi="Arial" w:cs="Arial"/>
          <w:sz w:val="20"/>
          <w:szCs w:val="20"/>
          <w:lang w:val="sr-Cyrl-CS"/>
        </w:rPr>
      </w:pPr>
    </w:p>
    <w:p>
      <w:pPr>
        <w:pStyle w:val="4"/>
        <w:jc w:val="center"/>
        <w:rPr>
          <w:rFonts w:ascii="Arial" w:hAnsi="Arial" w:cs="Arial"/>
          <w:b/>
          <w:sz w:val="20"/>
          <w:szCs w:val="20"/>
          <w:lang w:val="sr-Latn-CS"/>
        </w:rPr>
      </w:pPr>
      <w:r>
        <w:rPr>
          <w:rFonts w:ascii="Arial" w:hAnsi="Arial" w:cs="Arial"/>
          <w:b/>
          <w:sz w:val="20"/>
          <w:szCs w:val="20"/>
          <w:lang w:val="sr-Cyrl-CS"/>
        </w:rPr>
        <w:t>Члан</w:t>
      </w:r>
      <w:r>
        <w:rPr>
          <w:rFonts w:ascii="Arial" w:hAnsi="Arial" w:cs="Arial"/>
          <w:b/>
          <w:sz w:val="20"/>
          <w:szCs w:val="20"/>
          <w:lang w:val="sr-Latn-CS"/>
        </w:rPr>
        <w:t xml:space="preserve"> 3</w:t>
      </w:r>
    </w:p>
    <w:p>
      <w:pPr>
        <w:pStyle w:val="4"/>
        <w:jc w:val="both"/>
        <w:rPr>
          <w:rFonts w:ascii="Arial" w:hAnsi="Arial" w:cs="Arial"/>
          <w:b/>
          <w:sz w:val="20"/>
          <w:szCs w:val="20"/>
          <w:lang w:val="sr-Latn-CS"/>
        </w:rPr>
      </w:pPr>
    </w:p>
    <w:p>
      <w:pPr>
        <w:pStyle w:val="4"/>
        <w:ind w:firstLine="720"/>
        <w:jc w:val="both"/>
        <w:rPr>
          <w:rFonts w:ascii="Arial" w:hAnsi="Arial" w:cs="Arial"/>
          <w:sz w:val="20"/>
          <w:szCs w:val="20"/>
          <w:lang w:val="sr-Latn-CS"/>
        </w:rPr>
      </w:pPr>
      <w:r>
        <w:rPr>
          <w:rFonts w:ascii="Arial" w:hAnsi="Arial" w:cs="Arial"/>
          <w:sz w:val="20"/>
          <w:szCs w:val="20"/>
          <w:lang w:val="sr-Latn-CS"/>
        </w:rPr>
        <w:t>M</w:t>
      </w:r>
      <w:r>
        <w:rPr>
          <w:rFonts w:ascii="Arial" w:hAnsi="Arial" w:cs="Arial"/>
          <w:sz w:val="20"/>
          <w:szCs w:val="20"/>
          <w:lang w:val="sr-Cyrl-CS"/>
        </w:rPr>
        <w:t>еђусобна права и обавезе Општине Жабљак и Томчић Даре уредиће се посебним уговором</w:t>
      </w:r>
      <w:r>
        <w:rPr>
          <w:rFonts w:ascii="Arial" w:hAnsi="Arial" w:cs="Arial"/>
          <w:sz w:val="20"/>
          <w:szCs w:val="20"/>
          <w:lang w:val="sr-Latn-CS"/>
        </w:rPr>
        <w:t>.</w:t>
      </w:r>
    </w:p>
    <w:p>
      <w:pPr>
        <w:pStyle w:val="4"/>
        <w:jc w:val="both"/>
        <w:rPr>
          <w:rFonts w:ascii="Arial" w:hAnsi="Arial" w:cs="Arial"/>
          <w:sz w:val="20"/>
          <w:szCs w:val="20"/>
          <w:lang w:val="sr-Latn-CS"/>
        </w:rPr>
      </w:pPr>
    </w:p>
    <w:p>
      <w:pPr>
        <w:pStyle w:val="4"/>
        <w:jc w:val="center"/>
        <w:rPr>
          <w:rFonts w:ascii="Arial" w:hAnsi="Arial" w:cs="Arial"/>
          <w:b/>
          <w:sz w:val="20"/>
          <w:szCs w:val="20"/>
          <w:lang w:val="sr-Latn-CS"/>
        </w:rPr>
      </w:pPr>
      <w:r>
        <w:rPr>
          <w:rFonts w:ascii="Arial" w:hAnsi="Arial" w:cs="Arial"/>
          <w:b/>
          <w:sz w:val="20"/>
          <w:szCs w:val="20"/>
          <w:lang w:val="sr-Cyrl-CS"/>
        </w:rPr>
        <w:t>Члан</w:t>
      </w:r>
      <w:r>
        <w:rPr>
          <w:rFonts w:ascii="Arial" w:hAnsi="Arial" w:cs="Arial"/>
          <w:b/>
          <w:sz w:val="20"/>
          <w:szCs w:val="20"/>
          <w:lang w:val="sr-Latn-CS"/>
        </w:rPr>
        <w:t xml:space="preserve"> 4</w:t>
      </w:r>
    </w:p>
    <w:p>
      <w:pPr>
        <w:pStyle w:val="4"/>
        <w:jc w:val="both"/>
        <w:rPr>
          <w:rFonts w:ascii="Arial" w:hAnsi="Arial" w:cs="Arial"/>
          <w:sz w:val="20"/>
          <w:szCs w:val="20"/>
          <w:lang w:val="sr-Latn-CS"/>
        </w:rPr>
      </w:pPr>
    </w:p>
    <w:p>
      <w:pPr>
        <w:pStyle w:val="4"/>
        <w:ind w:firstLine="720"/>
        <w:jc w:val="both"/>
        <w:rPr>
          <w:rFonts w:ascii="Arial" w:hAnsi="Arial" w:cs="Arial"/>
          <w:sz w:val="20"/>
          <w:szCs w:val="20"/>
          <w:lang w:val="sr-Cyrl-CS"/>
        </w:rPr>
      </w:pPr>
      <w:r>
        <w:rPr>
          <w:rFonts w:ascii="Arial" w:hAnsi="Arial" w:cs="Arial"/>
          <w:sz w:val="20"/>
          <w:szCs w:val="20"/>
          <w:lang w:val="sr-Latn-CS"/>
        </w:rPr>
        <w:t>O</w:t>
      </w:r>
      <w:r>
        <w:rPr>
          <w:rFonts w:ascii="Arial" w:hAnsi="Arial" w:cs="Arial"/>
          <w:sz w:val="20"/>
          <w:szCs w:val="20"/>
          <w:lang w:val="sr-Cyrl-CS"/>
        </w:rPr>
        <w:t>влашћује се предсједник општине да закључи уговор из члана 3 ове одлуке.</w:t>
      </w:r>
    </w:p>
    <w:p>
      <w:pPr>
        <w:pStyle w:val="4"/>
        <w:jc w:val="both"/>
        <w:rPr>
          <w:rFonts w:ascii="Arial" w:hAnsi="Arial" w:cs="Arial"/>
          <w:sz w:val="20"/>
          <w:szCs w:val="20"/>
          <w:lang w:val="sr-Latn-CS"/>
        </w:rPr>
      </w:pPr>
    </w:p>
    <w:p>
      <w:pPr>
        <w:pStyle w:val="4"/>
        <w:jc w:val="center"/>
        <w:rPr>
          <w:rFonts w:ascii="Arial" w:hAnsi="Arial" w:cs="Arial"/>
          <w:b/>
          <w:sz w:val="20"/>
          <w:szCs w:val="20"/>
          <w:lang w:val="sr-Latn-CS"/>
        </w:rPr>
      </w:pPr>
      <w:r>
        <w:rPr>
          <w:rFonts w:ascii="Arial" w:hAnsi="Arial" w:cs="Arial"/>
          <w:b/>
          <w:sz w:val="20"/>
          <w:szCs w:val="20"/>
          <w:lang w:val="sr-Cyrl-CS"/>
        </w:rPr>
        <w:t>Члан</w:t>
      </w:r>
      <w:r>
        <w:rPr>
          <w:rFonts w:ascii="Arial" w:hAnsi="Arial" w:cs="Arial"/>
          <w:b/>
          <w:sz w:val="20"/>
          <w:szCs w:val="20"/>
          <w:lang w:val="sr-Latn-CS"/>
        </w:rPr>
        <w:t xml:space="preserve"> 5</w:t>
      </w:r>
    </w:p>
    <w:p>
      <w:pPr>
        <w:pStyle w:val="4"/>
        <w:jc w:val="both"/>
        <w:rPr>
          <w:rFonts w:ascii="Arial" w:hAnsi="Arial" w:cs="Arial"/>
          <w:sz w:val="20"/>
          <w:szCs w:val="20"/>
          <w:lang w:val="sr-Latn-CS"/>
        </w:rPr>
      </w:pPr>
    </w:p>
    <w:p>
      <w:pPr>
        <w:pStyle w:val="4"/>
        <w:ind w:firstLine="720"/>
        <w:jc w:val="both"/>
        <w:rPr>
          <w:rFonts w:ascii="Arial" w:hAnsi="Arial" w:cs="Arial"/>
          <w:sz w:val="20"/>
          <w:szCs w:val="20"/>
          <w:lang w:val="sr-Cyrl-CS"/>
        </w:rPr>
      </w:pPr>
      <w:r>
        <w:rPr>
          <w:rFonts w:ascii="Arial" w:hAnsi="Arial" w:cs="Arial"/>
          <w:sz w:val="20"/>
          <w:szCs w:val="20"/>
          <w:lang w:val="sr-Cyrl-CS"/>
        </w:rPr>
        <w:t xml:space="preserve">Уговор из члана 3 ове одлуке ће се закључити у року од 60 дана од дана ступања на снагу ове одлуке. </w:t>
      </w:r>
    </w:p>
    <w:p>
      <w:pPr>
        <w:pStyle w:val="4"/>
        <w:ind w:firstLine="720"/>
        <w:jc w:val="both"/>
        <w:rPr>
          <w:rFonts w:ascii="Arial" w:hAnsi="Arial" w:cs="Arial"/>
          <w:sz w:val="20"/>
          <w:szCs w:val="20"/>
          <w:lang w:val="sr-Cyrl-CS"/>
        </w:rPr>
      </w:pPr>
      <w:r>
        <w:rPr>
          <w:rFonts w:ascii="Arial" w:hAnsi="Arial" w:cs="Arial"/>
          <w:sz w:val="20"/>
          <w:szCs w:val="20"/>
          <w:lang w:val="sr-Cyrl-CS"/>
        </w:rPr>
        <w:t>Уколико се уговор не закључи у року из става 1 овог члана ова одлука ће се ставити ван снаге.</w:t>
      </w:r>
    </w:p>
    <w:p>
      <w:pPr>
        <w:pStyle w:val="4"/>
        <w:ind w:firstLine="720"/>
        <w:jc w:val="both"/>
        <w:rPr>
          <w:rFonts w:ascii="Arial" w:hAnsi="Arial" w:cs="Arial"/>
          <w:sz w:val="20"/>
          <w:szCs w:val="20"/>
          <w:lang w:val="sr-Cyrl-CS"/>
        </w:rPr>
      </w:pPr>
    </w:p>
    <w:p>
      <w:pPr>
        <w:pStyle w:val="4"/>
        <w:jc w:val="center"/>
        <w:rPr>
          <w:rFonts w:ascii="Arial" w:hAnsi="Arial" w:cs="Arial"/>
          <w:b/>
          <w:sz w:val="20"/>
          <w:szCs w:val="20"/>
          <w:lang w:val="sr-Latn-CS"/>
        </w:rPr>
      </w:pPr>
      <w:r>
        <w:rPr>
          <w:rFonts w:ascii="Arial" w:hAnsi="Arial" w:cs="Arial"/>
          <w:b/>
          <w:sz w:val="20"/>
          <w:szCs w:val="20"/>
          <w:lang w:val="sr-Cyrl-CS"/>
        </w:rPr>
        <w:t>Члан</w:t>
      </w:r>
      <w:r>
        <w:rPr>
          <w:rFonts w:ascii="Arial" w:hAnsi="Arial" w:cs="Arial"/>
          <w:b/>
          <w:sz w:val="20"/>
          <w:szCs w:val="20"/>
          <w:lang w:val="sr-Latn-CS"/>
        </w:rPr>
        <w:t xml:space="preserve"> 6</w:t>
      </w:r>
    </w:p>
    <w:p>
      <w:pPr>
        <w:pStyle w:val="4"/>
        <w:jc w:val="both"/>
        <w:rPr>
          <w:rFonts w:ascii="Arial" w:hAnsi="Arial" w:cs="Arial"/>
          <w:sz w:val="20"/>
          <w:szCs w:val="20"/>
          <w:lang w:val="sr-Latn-CS"/>
        </w:rPr>
      </w:pPr>
      <w:r>
        <w:rPr>
          <w:rFonts w:ascii="Arial" w:hAnsi="Arial" w:cs="Arial"/>
          <w:sz w:val="20"/>
          <w:szCs w:val="20"/>
          <w:lang w:val="sr-Latn-CS"/>
        </w:rPr>
        <w:tab/>
      </w:r>
    </w:p>
    <w:p>
      <w:pPr>
        <w:pStyle w:val="4"/>
        <w:ind w:firstLine="720"/>
        <w:jc w:val="both"/>
        <w:rPr>
          <w:rFonts w:ascii="Arial" w:hAnsi="Arial" w:cs="Arial"/>
          <w:sz w:val="20"/>
          <w:szCs w:val="20"/>
          <w:lang w:val="sr-Cyrl-CS"/>
        </w:rPr>
      </w:pPr>
      <w:r>
        <w:rPr>
          <w:rFonts w:ascii="Arial" w:hAnsi="Arial" w:cs="Arial"/>
          <w:sz w:val="20"/>
          <w:szCs w:val="20"/>
          <w:lang w:val="sr-Latn-CS"/>
        </w:rPr>
        <w:t>O</w:t>
      </w:r>
      <w:r>
        <w:rPr>
          <w:rFonts w:ascii="Arial" w:hAnsi="Arial" w:cs="Arial"/>
          <w:sz w:val="20"/>
          <w:szCs w:val="20"/>
          <w:lang w:val="sr-Cyrl-CS"/>
        </w:rPr>
        <w:t>ва</w:t>
      </w:r>
      <w:r>
        <w:rPr>
          <w:rFonts w:ascii="Arial" w:hAnsi="Arial" w:cs="Arial"/>
          <w:sz w:val="20"/>
          <w:szCs w:val="20"/>
          <w:lang w:val="sr-Latn-CS"/>
        </w:rPr>
        <w:t xml:space="preserve"> o</w:t>
      </w:r>
      <w:r>
        <w:rPr>
          <w:rFonts w:ascii="Arial" w:hAnsi="Arial" w:cs="Arial"/>
          <w:sz w:val="20"/>
          <w:szCs w:val="20"/>
          <w:lang w:val="sr-Cyrl-CS"/>
        </w:rPr>
        <w:t>длука ступа на снагу даном доношења и објавиће се у ''Службеном листу Црне Горе - Општински прописи''</w:t>
      </w:r>
      <w:r>
        <w:rPr>
          <w:rFonts w:ascii="Arial" w:hAnsi="Arial" w:cs="Arial"/>
          <w:sz w:val="20"/>
          <w:szCs w:val="20"/>
          <w:lang w:val="sr-Latn-CS"/>
        </w:rPr>
        <w:t>.</w:t>
      </w:r>
    </w:p>
    <w:p>
      <w:pPr>
        <w:pStyle w:val="4"/>
        <w:ind w:firstLine="720"/>
        <w:jc w:val="both"/>
        <w:rPr>
          <w:rFonts w:ascii="Arial" w:hAnsi="Arial" w:cs="Arial"/>
          <w:sz w:val="20"/>
          <w:szCs w:val="20"/>
          <w:lang w:val="sr-Cyrl-CS"/>
        </w:rPr>
      </w:pPr>
    </w:p>
    <w:p>
      <w:pPr>
        <w:pStyle w:val="4"/>
        <w:jc w:val="both"/>
        <w:rPr>
          <w:rFonts w:ascii="Arial" w:hAnsi="Arial" w:cs="Arial"/>
          <w:sz w:val="20"/>
          <w:szCs w:val="20"/>
          <w:lang w:val="sr-Latn-CS"/>
        </w:rPr>
      </w:pPr>
    </w:p>
    <w:p>
      <w:pPr>
        <w:pStyle w:val="4"/>
        <w:jc w:val="both"/>
        <w:rPr>
          <w:rFonts w:ascii="Arial" w:hAnsi="Arial" w:cs="Arial"/>
          <w:sz w:val="20"/>
          <w:szCs w:val="20"/>
          <w:lang w:val="sr-Latn-CS"/>
        </w:rPr>
      </w:pPr>
      <w:r>
        <w:rPr>
          <w:rFonts w:ascii="Arial" w:hAnsi="Arial" w:cs="Arial"/>
          <w:sz w:val="20"/>
          <w:szCs w:val="20"/>
          <w:lang w:val="sr-Cyrl-CS"/>
        </w:rPr>
        <w:t>Број</w:t>
      </w:r>
      <w:r>
        <w:rPr>
          <w:rFonts w:ascii="Arial" w:hAnsi="Arial" w:cs="Arial"/>
          <w:sz w:val="20"/>
          <w:szCs w:val="20"/>
          <w:lang w:val="sr-Latn-CS"/>
        </w:rPr>
        <w:t>: 463/17 -</w:t>
      </w:r>
      <w:r>
        <w:rPr>
          <w:rFonts w:ascii="Arial" w:hAnsi="Arial" w:cs="Arial"/>
          <w:sz w:val="20"/>
          <w:szCs w:val="20"/>
          <w:lang w:val="sr-Cyrl-CS"/>
        </w:rPr>
        <w:t xml:space="preserve"> </w:t>
      </w:r>
      <w:r>
        <w:rPr>
          <w:rFonts w:ascii="Arial" w:hAnsi="Arial" w:cs="Arial"/>
          <w:sz w:val="20"/>
          <w:szCs w:val="20"/>
          <w:lang w:val="sr-Latn-CS"/>
        </w:rPr>
        <w:t>01-364</w:t>
      </w:r>
      <w:bookmarkStart w:id="0" w:name="_GoBack"/>
      <w:bookmarkEnd w:id="0"/>
    </w:p>
    <w:p>
      <w:pPr>
        <w:pStyle w:val="4"/>
        <w:jc w:val="both"/>
        <w:rPr>
          <w:rFonts w:ascii="Arial" w:hAnsi="Arial" w:cs="Arial"/>
          <w:sz w:val="20"/>
          <w:szCs w:val="20"/>
          <w:lang w:val="sr-Cyrl-CS"/>
        </w:rPr>
      </w:pPr>
      <w:r>
        <w:rPr>
          <w:rFonts w:ascii="Arial" w:hAnsi="Arial" w:cs="Arial"/>
          <w:sz w:val="20"/>
          <w:szCs w:val="20"/>
          <w:lang w:val="sr-Cyrl-CS"/>
        </w:rPr>
        <w:t>Жабљак</w:t>
      </w:r>
      <w:r>
        <w:rPr>
          <w:rFonts w:ascii="Arial" w:hAnsi="Arial" w:cs="Arial"/>
          <w:sz w:val="20"/>
          <w:szCs w:val="20"/>
          <w:lang w:val="sr-Latn-CS"/>
        </w:rPr>
        <w:t>, 27.10.2017.</w:t>
      </w:r>
      <w:r>
        <w:rPr>
          <w:rFonts w:ascii="Arial" w:hAnsi="Arial" w:cs="Arial"/>
          <w:sz w:val="20"/>
          <w:szCs w:val="20"/>
          <w:lang w:val="sr-Cyrl-CS"/>
        </w:rPr>
        <w:t xml:space="preserve"> године</w:t>
      </w:r>
    </w:p>
    <w:p>
      <w:pPr>
        <w:pStyle w:val="4"/>
        <w:jc w:val="both"/>
        <w:rPr>
          <w:rFonts w:ascii="Arial" w:hAnsi="Arial" w:cs="Arial"/>
          <w:sz w:val="20"/>
          <w:szCs w:val="20"/>
          <w:lang w:val="sr-Cyrl-CS"/>
        </w:rPr>
      </w:pPr>
    </w:p>
    <w:p>
      <w:pPr>
        <w:pStyle w:val="4"/>
        <w:jc w:val="both"/>
        <w:rPr>
          <w:rFonts w:ascii="Arial" w:hAnsi="Arial" w:cs="Arial"/>
          <w:sz w:val="20"/>
          <w:szCs w:val="20"/>
          <w:lang w:val="sr-Cyrl-CS"/>
        </w:rPr>
      </w:pPr>
    </w:p>
    <w:p>
      <w:pPr>
        <w:pStyle w:val="4"/>
        <w:jc w:val="center"/>
        <w:rPr>
          <w:rFonts w:ascii="Arial" w:hAnsi="Arial" w:cs="Arial"/>
          <w:b/>
          <w:sz w:val="20"/>
          <w:szCs w:val="20"/>
          <w:lang w:val="sr-Cyrl-CS"/>
        </w:rPr>
      </w:pPr>
      <w:r>
        <w:rPr>
          <w:rFonts w:ascii="Arial" w:hAnsi="Arial" w:cs="Arial"/>
          <w:b/>
          <w:sz w:val="20"/>
          <w:szCs w:val="20"/>
          <w:lang w:val="sr-Cyrl-CS"/>
        </w:rPr>
        <w:t>СКУПШТИНА ОПШТИНЕ ЖАБЉАК</w:t>
      </w:r>
    </w:p>
    <w:p>
      <w:pPr>
        <w:pStyle w:val="4"/>
        <w:jc w:val="center"/>
        <w:rPr>
          <w:rFonts w:ascii="Arial" w:hAnsi="Arial" w:cs="Arial"/>
          <w:b/>
          <w:sz w:val="20"/>
          <w:szCs w:val="20"/>
          <w:lang w:val="sr-Cyrl-CS"/>
        </w:rPr>
      </w:pPr>
    </w:p>
    <w:p>
      <w:pPr>
        <w:pStyle w:val="4"/>
        <w:jc w:val="center"/>
        <w:rPr>
          <w:rFonts w:ascii="Arial" w:hAnsi="Arial" w:cs="Arial"/>
          <w:b/>
          <w:sz w:val="20"/>
          <w:szCs w:val="20"/>
          <w:lang w:val="sr-Cyrl-CS"/>
        </w:rPr>
      </w:pPr>
    </w:p>
    <w:p>
      <w:pPr>
        <w:pStyle w:val="4"/>
        <w:jc w:val="right"/>
        <w:rPr>
          <w:rFonts w:ascii="Arial" w:hAnsi="Arial" w:cs="Arial"/>
          <w:b/>
          <w:sz w:val="20"/>
          <w:szCs w:val="20"/>
          <w:lang w:val="sr-Latn-CS"/>
        </w:rPr>
      </w:pPr>
      <w:r>
        <w:rPr>
          <w:rFonts w:ascii="Arial" w:hAnsi="Arial" w:cs="Arial"/>
          <w:b/>
          <w:sz w:val="20"/>
          <w:szCs w:val="20"/>
          <w:lang w:val="sr-Cyrl-CS"/>
        </w:rPr>
        <w:t>ПРЕДСЈЕДНИК СКУПШТИНЕ</w:t>
      </w:r>
      <w:r>
        <w:rPr>
          <w:rFonts w:ascii="Arial" w:hAnsi="Arial" w:cs="Arial"/>
          <w:b/>
          <w:sz w:val="20"/>
          <w:szCs w:val="20"/>
          <w:lang w:val="sr-Latn-CS"/>
        </w:rPr>
        <w:t>,</w:t>
      </w:r>
    </w:p>
    <w:p>
      <w:pPr>
        <w:pStyle w:val="4"/>
        <w:jc w:val="both"/>
        <w:rPr>
          <w:rFonts w:ascii="Arial" w:hAnsi="Arial" w:cs="Arial"/>
          <w:sz w:val="20"/>
          <w:szCs w:val="20"/>
          <w:lang w:val="sr-Cyrl-CS"/>
        </w:rPr>
      </w:pPr>
      <w:r>
        <w:rPr>
          <w:rFonts w:ascii="Arial" w:hAnsi="Arial" w:cs="Arial"/>
          <w:sz w:val="20"/>
          <w:szCs w:val="20"/>
          <w:lang w:val="sr-Latn-CS"/>
        </w:rPr>
        <w:t xml:space="preserve">                                                                                                                            </w:t>
      </w:r>
      <w:r>
        <w:rPr>
          <w:rFonts w:ascii="Arial" w:hAnsi="Arial" w:cs="Arial"/>
          <w:sz w:val="20"/>
          <w:szCs w:val="20"/>
          <w:lang w:val="sr-Cyrl-CS"/>
        </w:rPr>
        <w:t xml:space="preserve">      </w:t>
      </w:r>
      <w:r>
        <w:rPr>
          <w:rFonts w:ascii="Arial" w:hAnsi="Arial" w:cs="Arial"/>
          <w:sz w:val="20"/>
          <w:szCs w:val="20"/>
          <w:lang w:val="sr-Latn-CS"/>
        </w:rPr>
        <w:t xml:space="preserve">         </w:t>
      </w:r>
      <w:r>
        <w:rPr>
          <w:rFonts w:ascii="Arial" w:hAnsi="Arial" w:cs="Arial"/>
          <w:sz w:val="20"/>
          <w:szCs w:val="20"/>
          <w:lang w:val="sr-Cyrl-CS"/>
        </w:rPr>
        <w:t>Видоје Томчић</w:t>
      </w:r>
    </w:p>
    <w:p>
      <w:pPr>
        <w:pStyle w:val="4"/>
        <w:jc w:val="both"/>
        <w:rPr>
          <w:rFonts w:ascii="Arial" w:hAnsi="Arial" w:cs="Arial"/>
          <w:sz w:val="20"/>
          <w:szCs w:val="20"/>
          <w:lang w:val="sr-Cyrl-CS"/>
        </w:rPr>
      </w:pPr>
    </w:p>
    <w:p>
      <w:pPr>
        <w:pStyle w:val="4"/>
        <w:jc w:val="both"/>
        <w:rPr>
          <w:rFonts w:ascii="Arial" w:hAnsi="Arial" w:cs="Arial"/>
          <w:sz w:val="20"/>
          <w:szCs w:val="20"/>
          <w:lang w:val="sr-Cyrl-CS"/>
        </w:rPr>
      </w:pPr>
    </w:p>
    <w:p>
      <w:pPr>
        <w:pStyle w:val="4"/>
        <w:jc w:val="center"/>
        <w:rPr>
          <w:rFonts w:ascii="Arial" w:hAnsi="Arial" w:cs="Arial"/>
          <w:b/>
          <w:sz w:val="20"/>
          <w:szCs w:val="20"/>
          <w:lang w:val="sr-Cyrl-CS"/>
        </w:rPr>
      </w:pPr>
      <w:r>
        <w:rPr>
          <w:rFonts w:ascii="Arial" w:hAnsi="Arial" w:cs="Arial"/>
          <w:b/>
          <w:sz w:val="20"/>
          <w:szCs w:val="20"/>
          <w:lang w:val="sr-Latn-CS"/>
        </w:rPr>
        <w:t>O</w:t>
      </w:r>
      <w:r>
        <w:rPr>
          <w:rFonts w:ascii="Arial" w:hAnsi="Arial" w:cs="Arial"/>
          <w:b/>
          <w:sz w:val="20"/>
          <w:szCs w:val="20"/>
          <w:lang w:val="sr-Cyrl-CS"/>
        </w:rPr>
        <w:t>БРАЗЛОЖЕЊЕ</w:t>
      </w:r>
    </w:p>
    <w:p>
      <w:pPr>
        <w:pStyle w:val="4"/>
        <w:jc w:val="both"/>
        <w:rPr>
          <w:rFonts w:ascii="Arial" w:hAnsi="Arial" w:cs="Arial"/>
          <w:b/>
          <w:sz w:val="20"/>
          <w:szCs w:val="20"/>
          <w:lang w:val="sr-Latn-CS"/>
        </w:rPr>
      </w:pPr>
    </w:p>
    <w:p>
      <w:pPr>
        <w:pStyle w:val="4"/>
        <w:jc w:val="both"/>
        <w:rPr>
          <w:rFonts w:ascii="Arial" w:hAnsi="Arial" w:cs="Arial"/>
          <w:b/>
          <w:sz w:val="20"/>
          <w:szCs w:val="20"/>
          <w:lang w:val="sr-Latn-CS"/>
        </w:rPr>
      </w:pPr>
    </w:p>
    <w:p>
      <w:pPr>
        <w:pStyle w:val="4"/>
        <w:numPr>
          <w:ilvl w:val="0"/>
          <w:numId w:val="1"/>
        </w:numPr>
        <w:jc w:val="both"/>
        <w:rPr>
          <w:rFonts w:ascii="Arial" w:hAnsi="Arial" w:cs="Arial"/>
          <w:b/>
          <w:sz w:val="20"/>
          <w:szCs w:val="20"/>
          <w:lang w:val="sr-Cyrl-CS"/>
        </w:rPr>
      </w:pPr>
      <w:r>
        <w:rPr>
          <w:rFonts w:ascii="Arial" w:hAnsi="Arial" w:cs="Arial"/>
          <w:b/>
          <w:sz w:val="20"/>
          <w:szCs w:val="20"/>
          <w:lang w:val="sr-Cyrl-CS"/>
        </w:rPr>
        <w:t>ПРАВНИ ОСНОВ</w:t>
      </w:r>
    </w:p>
    <w:p>
      <w:pPr>
        <w:pStyle w:val="4"/>
        <w:jc w:val="both"/>
        <w:rPr>
          <w:rFonts w:ascii="Arial" w:hAnsi="Arial" w:cs="Arial"/>
          <w:sz w:val="20"/>
          <w:szCs w:val="20"/>
          <w:lang w:val="sr-Latn-CS"/>
        </w:rPr>
      </w:pPr>
    </w:p>
    <w:p>
      <w:pPr>
        <w:pStyle w:val="4"/>
        <w:ind w:firstLine="720"/>
        <w:jc w:val="both"/>
        <w:rPr>
          <w:rFonts w:ascii="Arial" w:hAnsi="Arial" w:cs="Arial"/>
          <w:sz w:val="20"/>
          <w:szCs w:val="20"/>
          <w:lang w:val="sr-Cyrl-CS"/>
        </w:rPr>
      </w:pPr>
      <w:r>
        <w:rPr>
          <w:rFonts w:ascii="Arial" w:hAnsi="Arial" w:cs="Arial"/>
          <w:sz w:val="20"/>
          <w:szCs w:val="20"/>
          <w:lang w:val="sr-Cyrl-CS"/>
        </w:rPr>
        <w:t>Правни основ за доношење Одлуке о преносу права својине на грађевинском земљишту на Томчић Дару из Подгорице, ул. Краља Николе бр. 31</w:t>
      </w:r>
      <w:r>
        <w:rPr>
          <w:rFonts w:ascii="Arial" w:hAnsi="Arial" w:cs="Arial"/>
          <w:sz w:val="20"/>
          <w:szCs w:val="20"/>
          <w:lang w:val="sr-Latn-CS"/>
        </w:rPr>
        <w:t>9</w:t>
      </w:r>
      <w:r>
        <w:rPr>
          <w:rFonts w:ascii="Arial" w:hAnsi="Arial" w:cs="Arial"/>
          <w:sz w:val="20"/>
          <w:szCs w:val="20"/>
          <w:lang w:val="sr-Cyrl-CS"/>
        </w:rPr>
        <w:t xml:space="preserve">, садржан је у одредбама члана 33 тачка 1 Закона о локалној самоуправи (''Сл. лист РЦГ'', бр. </w:t>
      </w:r>
      <w:r>
        <w:rPr>
          <w:rFonts w:ascii="Arial" w:hAnsi="Arial" w:cs="Arial"/>
          <w:sz w:val="20"/>
          <w:szCs w:val="20"/>
          <w:lang w:val="sr-Latn-CS"/>
        </w:rPr>
        <w:t xml:space="preserve">42/03, 28/04, 75/05 </w:t>
      </w:r>
      <w:r>
        <w:rPr>
          <w:rFonts w:ascii="Arial" w:hAnsi="Arial" w:cs="Arial"/>
          <w:sz w:val="20"/>
          <w:szCs w:val="20"/>
          <w:lang w:val="sr-Cyrl-CS"/>
        </w:rPr>
        <w:t>и</w:t>
      </w:r>
      <w:r>
        <w:rPr>
          <w:rFonts w:ascii="Arial" w:hAnsi="Arial" w:cs="Arial"/>
          <w:sz w:val="20"/>
          <w:szCs w:val="20"/>
          <w:lang w:val="sr-Latn-CS"/>
        </w:rPr>
        <w:t xml:space="preserve"> 13/06</w:t>
      </w:r>
      <w:r>
        <w:rPr>
          <w:rFonts w:ascii="Arial" w:hAnsi="Arial" w:cs="Arial"/>
          <w:sz w:val="20"/>
          <w:szCs w:val="20"/>
          <w:lang w:val="sr-Cyrl-CS"/>
        </w:rPr>
        <w:t xml:space="preserve"> и ''Сл. лист ЦГ'', бр. </w:t>
      </w:r>
      <w:r>
        <w:rPr>
          <w:rFonts w:ascii="Arial" w:hAnsi="Arial" w:cs="Arial"/>
          <w:sz w:val="20"/>
          <w:szCs w:val="20"/>
          <w:lang w:val="sr-Latn-CS"/>
        </w:rPr>
        <w:t xml:space="preserve">88/09, 3/10, 73/10, 38/12 </w:t>
      </w:r>
      <w:r>
        <w:rPr>
          <w:rFonts w:ascii="Arial" w:hAnsi="Arial" w:cs="Arial"/>
          <w:sz w:val="20"/>
          <w:szCs w:val="20"/>
          <w:lang w:val="sr-Cyrl-CS"/>
        </w:rPr>
        <w:t>и</w:t>
      </w:r>
      <w:r>
        <w:rPr>
          <w:rFonts w:ascii="Arial" w:hAnsi="Arial" w:cs="Arial"/>
          <w:sz w:val="20"/>
          <w:szCs w:val="20"/>
          <w:lang w:val="sr-Latn-CS"/>
        </w:rPr>
        <w:t xml:space="preserve"> 10/14), </w:t>
      </w:r>
      <w:r>
        <w:rPr>
          <w:rFonts w:ascii="Arial" w:hAnsi="Arial" w:cs="Arial"/>
          <w:sz w:val="20"/>
          <w:szCs w:val="20"/>
          <w:lang w:val="sr-Cyrl-CS"/>
        </w:rPr>
        <w:t>члану 34 став 1 и став 3 и члану 40 став 2 тачка 3 Закона о државној имовини (''Сл. лист ЦГ'', бр. 21/09 и 40/11), а надлежност Скупштине општине за доношење одлуке садржана је у одредбама члана 45 Закона о локалној самоуправи и члана 38 тачка 9 Статута општине Жабљак (''Сл. лист РЦГ - општински прописи'', бр.</w:t>
      </w:r>
      <w:r>
        <w:rPr>
          <w:rFonts w:ascii="Arial" w:hAnsi="Arial" w:cs="Arial"/>
          <w:sz w:val="20"/>
          <w:szCs w:val="20"/>
          <w:lang w:val="sr-Latn-CS"/>
        </w:rPr>
        <w:t xml:space="preserve"> 9/05 </w:t>
      </w:r>
      <w:r>
        <w:rPr>
          <w:rFonts w:ascii="Arial" w:hAnsi="Arial" w:cs="Arial"/>
          <w:sz w:val="20"/>
          <w:szCs w:val="20"/>
          <w:lang w:val="sr-Cyrl-CS"/>
        </w:rPr>
        <w:t xml:space="preserve">и </w:t>
      </w:r>
      <w:r>
        <w:rPr>
          <w:rFonts w:ascii="Arial" w:hAnsi="Arial" w:cs="Arial"/>
          <w:sz w:val="20"/>
          <w:szCs w:val="20"/>
          <w:lang w:val="sr-Latn-CS"/>
        </w:rPr>
        <w:t>23/07</w:t>
      </w:r>
      <w:r>
        <w:rPr>
          <w:rFonts w:ascii="Arial" w:hAnsi="Arial" w:cs="Arial"/>
          <w:sz w:val="20"/>
          <w:szCs w:val="20"/>
          <w:lang w:val="sr-Cyrl-CS"/>
        </w:rPr>
        <w:t xml:space="preserve"> и ''Сл. лист ЦГ - Општински прописи'', бр.</w:t>
      </w:r>
      <w:r>
        <w:rPr>
          <w:rFonts w:ascii="Arial" w:hAnsi="Arial" w:cs="Arial"/>
          <w:sz w:val="20"/>
          <w:szCs w:val="20"/>
          <w:lang w:val="sr-Latn-CS"/>
        </w:rPr>
        <w:t xml:space="preserve"> 3/11 </w:t>
      </w:r>
      <w:r>
        <w:rPr>
          <w:rFonts w:ascii="Arial" w:hAnsi="Arial" w:cs="Arial"/>
          <w:sz w:val="20"/>
          <w:szCs w:val="20"/>
          <w:lang w:val="sr-Cyrl-CS"/>
        </w:rPr>
        <w:t>и</w:t>
      </w:r>
      <w:r>
        <w:rPr>
          <w:rFonts w:ascii="Arial" w:hAnsi="Arial" w:cs="Arial"/>
          <w:sz w:val="20"/>
          <w:szCs w:val="20"/>
          <w:lang w:val="sr-Latn-CS"/>
        </w:rPr>
        <w:t xml:space="preserve"> 7/14</w:t>
      </w:r>
      <w:r>
        <w:rPr>
          <w:rFonts w:ascii="Arial" w:hAnsi="Arial" w:cs="Arial"/>
          <w:sz w:val="20"/>
          <w:szCs w:val="20"/>
          <w:lang w:val="sr-Cyrl-CS"/>
        </w:rPr>
        <w:t xml:space="preserve">). </w:t>
      </w:r>
    </w:p>
    <w:p>
      <w:pPr>
        <w:pStyle w:val="4"/>
        <w:ind w:firstLine="720"/>
        <w:jc w:val="both"/>
        <w:rPr>
          <w:rFonts w:ascii="Arial" w:hAnsi="Arial" w:cs="Arial"/>
          <w:sz w:val="20"/>
          <w:szCs w:val="20"/>
          <w:lang w:val="sr-Cyrl-CS"/>
        </w:rPr>
      </w:pPr>
    </w:p>
    <w:p>
      <w:pPr>
        <w:pStyle w:val="4"/>
        <w:ind w:firstLine="720"/>
        <w:jc w:val="both"/>
        <w:rPr>
          <w:rFonts w:ascii="Arial" w:hAnsi="Arial" w:cs="Arial"/>
          <w:sz w:val="20"/>
          <w:szCs w:val="20"/>
          <w:lang w:val="sr-Cyrl-CS"/>
        </w:rPr>
      </w:pPr>
      <w:r>
        <w:rPr>
          <w:rFonts w:ascii="Arial" w:hAnsi="Arial" w:cs="Arial"/>
          <w:sz w:val="20"/>
          <w:szCs w:val="20"/>
          <w:lang w:val="sr-Cyrl-CS"/>
        </w:rPr>
        <w:t>Наиме, одредбама члана 33 тачка 1 Закона о локалној самоуправи прописано је да у оквиру сопствених надлежности општина управља, располаже и штити своју имовину и врши поједина својинска овлашћења на државној имовини, у складу са законом.</w:t>
      </w:r>
    </w:p>
    <w:p>
      <w:pPr>
        <w:pStyle w:val="4"/>
        <w:ind w:firstLine="720"/>
        <w:jc w:val="both"/>
        <w:rPr>
          <w:rFonts w:ascii="Arial" w:hAnsi="Arial" w:cs="Arial"/>
          <w:sz w:val="20"/>
          <w:szCs w:val="20"/>
          <w:lang w:val="sr-Cyrl-CS"/>
        </w:rPr>
      </w:pPr>
    </w:p>
    <w:p>
      <w:pPr>
        <w:pStyle w:val="4"/>
        <w:ind w:firstLine="720"/>
        <w:jc w:val="both"/>
        <w:rPr>
          <w:rFonts w:ascii="Arial" w:hAnsi="Arial" w:cs="Arial"/>
          <w:sz w:val="20"/>
          <w:szCs w:val="20"/>
          <w:lang w:val="sr-Cyrl-CS"/>
        </w:rPr>
      </w:pPr>
      <w:r>
        <w:rPr>
          <w:rFonts w:ascii="Arial" w:hAnsi="Arial" w:cs="Arial"/>
          <w:sz w:val="20"/>
          <w:szCs w:val="20"/>
          <w:lang w:val="sr-Cyrl-CS"/>
        </w:rPr>
        <w:t xml:space="preserve"> Одредбама члана 34 став 1 и став 3 Закона о државној имовини прописано је да општина одлучује о стицању и располагању правима која јој припадају у складу са овим законом и да о отуђењу имовинских права на непокретностима које припадају општини, претходну сагласност даје Влада, осим у случајевима из члана 40 став 2 тачка 1, 2, 3 и 4 овог закона.</w:t>
      </w:r>
    </w:p>
    <w:p>
      <w:pPr>
        <w:pStyle w:val="4"/>
        <w:ind w:firstLine="720"/>
        <w:jc w:val="both"/>
        <w:rPr>
          <w:rFonts w:ascii="Arial" w:hAnsi="Arial" w:cs="Arial"/>
          <w:sz w:val="20"/>
          <w:szCs w:val="20"/>
          <w:lang w:val="sr-Cyrl-CS"/>
        </w:rPr>
      </w:pPr>
    </w:p>
    <w:p>
      <w:pPr>
        <w:pStyle w:val="4"/>
        <w:ind w:firstLine="720"/>
        <w:jc w:val="both"/>
        <w:rPr>
          <w:rFonts w:ascii="Arial" w:hAnsi="Arial" w:cs="Arial"/>
          <w:sz w:val="20"/>
          <w:szCs w:val="20"/>
          <w:lang w:val="sr-Cyrl-CS"/>
        </w:rPr>
      </w:pPr>
      <w:r>
        <w:rPr>
          <w:rFonts w:ascii="Arial" w:hAnsi="Arial" w:cs="Arial"/>
          <w:sz w:val="20"/>
          <w:szCs w:val="20"/>
          <w:lang w:val="sr-Cyrl-CS"/>
        </w:rPr>
        <w:t xml:space="preserve">Одредбама члана 40 став 2 тачка 3 Закона о државној имовини прописано је да се продаја ствари и других добара у државној имовини може вршити непосредном погодбом, између осталог и када је власник катастарске парцеле дужан да трпи промјене граница урбнистичке парцеле, у складу са планом парцелација </w:t>
      </w:r>
      <w:r>
        <w:rPr>
          <w:rFonts w:ascii="Arial" w:hAnsi="Arial" w:cs="Arial"/>
          <w:b/>
          <w:sz w:val="20"/>
          <w:szCs w:val="20"/>
          <w:lang w:val="sr-Cyrl-CS"/>
        </w:rPr>
        <w:t>(докомплетирање урбанистичке парцеле).</w:t>
      </w:r>
    </w:p>
    <w:p>
      <w:pPr>
        <w:pStyle w:val="4"/>
        <w:jc w:val="both"/>
        <w:rPr>
          <w:rFonts w:ascii="Arial" w:hAnsi="Arial" w:cs="Arial"/>
          <w:sz w:val="20"/>
          <w:szCs w:val="20"/>
          <w:lang w:val="sr-Latn-CS"/>
        </w:rPr>
      </w:pPr>
    </w:p>
    <w:p>
      <w:pPr>
        <w:pStyle w:val="4"/>
        <w:ind w:firstLine="720"/>
        <w:jc w:val="both"/>
        <w:rPr>
          <w:rFonts w:ascii="Arial" w:hAnsi="Arial" w:cs="Arial"/>
          <w:sz w:val="20"/>
          <w:szCs w:val="20"/>
          <w:lang w:val="sr-Cyrl-CS"/>
        </w:rPr>
      </w:pPr>
      <w:r>
        <w:rPr>
          <w:rFonts w:ascii="Arial" w:hAnsi="Arial" w:cs="Arial"/>
          <w:sz w:val="20"/>
          <w:szCs w:val="20"/>
          <w:lang w:val="sr-Cyrl-CS"/>
        </w:rPr>
        <w:t>Одредбама члана 45 тачка 9 Закона о локалној самоуправи прописано је да скупштина располаже имовином.</w:t>
      </w:r>
    </w:p>
    <w:p>
      <w:pPr>
        <w:pStyle w:val="4"/>
        <w:jc w:val="both"/>
        <w:rPr>
          <w:rFonts w:ascii="Arial" w:hAnsi="Arial" w:cs="Arial"/>
          <w:sz w:val="20"/>
          <w:szCs w:val="20"/>
          <w:lang w:val="sr-Latn-CS"/>
        </w:rPr>
      </w:pPr>
    </w:p>
    <w:p>
      <w:pPr>
        <w:pStyle w:val="4"/>
        <w:ind w:firstLine="720"/>
        <w:jc w:val="both"/>
        <w:rPr>
          <w:rFonts w:ascii="Arial" w:hAnsi="Arial" w:cs="Arial"/>
          <w:sz w:val="20"/>
          <w:szCs w:val="20"/>
          <w:lang w:val="sr-Cyrl-CS"/>
        </w:rPr>
      </w:pPr>
      <w:r>
        <w:rPr>
          <w:rFonts w:ascii="Arial" w:hAnsi="Arial" w:cs="Arial"/>
          <w:sz w:val="20"/>
          <w:szCs w:val="20"/>
          <w:lang w:val="sr-Cyrl-CS"/>
        </w:rPr>
        <w:t>Одредбама члана 38 тачка 9 Статута општине Жабљак прописано је да скупштина управља и располаже општинском имовином.</w:t>
      </w:r>
    </w:p>
    <w:p>
      <w:pPr>
        <w:pStyle w:val="4"/>
        <w:jc w:val="both"/>
        <w:rPr>
          <w:rFonts w:ascii="Arial" w:hAnsi="Arial" w:cs="Arial"/>
          <w:sz w:val="20"/>
          <w:szCs w:val="20"/>
          <w:lang w:val="sr-Latn-CS"/>
        </w:rPr>
      </w:pPr>
    </w:p>
    <w:p>
      <w:pPr>
        <w:pStyle w:val="4"/>
        <w:numPr>
          <w:ilvl w:val="0"/>
          <w:numId w:val="1"/>
        </w:numPr>
        <w:jc w:val="both"/>
        <w:rPr>
          <w:rFonts w:ascii="Arial" w:hAnsi="Arial" w:cs="Arial"/>
          <w:b/>
          <w:sz w:val="20"/>
          <w:szCs w:val="20"/>
          <w:lang w:val="sr-Cyrl-CS"/>
        </w:rPr>
      </w:pPr>
      <w:r>
        <w:rPr>
          <w:rFonts w:ascii="Arial" w:hAnsi="Arial" w:cs="Arial"/>
          <w:b/>
          <w:sz w:val="20"/>
          <w:szCs w:val="20"/>
          <w:lang w:val="sr-Cyrl-CS"/>
        </w:rPr>
        <w:t>РАЗЛОЗИ ЗА ДОНОШЕЊЕ ОДЛУКЕ</w:t>
      </w:r>
    </w:p>
    <w:p>
      <w:pPr>
        <w:pStyle w:val="4"/>
        <w:jc w:val="both"/>
        <w:rPr>
          <w:rFonts w:ascii="Arial" w:hAnsi="Arial" w:cs="Arial"/>
          <w:sz w:val="20"/>
          <w:szCs w:val="20"/>
          <w:lang w:val="sr-Latn-CS"/>
        </w:rPr>
      </w:pPr>
    </w:p>
    <w:p>
      <w:pPr>
        <w:pStyle w:val="4"/>
        <w:ind w:firstLine="720"/>
        <w:jc w:val="both"/>
        <w:rPr>
          <w:rFonts w:ascii="Arial" w:hAnsi="Arial" w:cs="Arial"/>
          <w:sz w:val="20"/>
          <w:szCs w:val="20"/>
          <w:lang w:val="sr-Cyrl-CS"/>
        </w:rPr>
      </w:pPr>
      <w:r>
        <w:rPr>
          <w:rFonts w:ascii="Arial" w:hAnsi="Arial" w:cs="Arial"/>
          <w:sz w:val="20"/>
          <w:szCs w:val="20"/>
          <w:lang w:val="sr-Cyrl-CS"/>
        </w:rPr>
        <w:t>Скупштина општине Жабљак је донијела Одлуку о доношењу измјена и допуна Детаљног урбанистичког плана Жабљак (''Сл. лист ЦГ - Општински прописи'', бр. 7/14) и Одлуку о накнади за докомплетирање урбанистичких парцела (''Сл. лист ЦГ - Општински прописи'', бр. 31/14, 1/16 и 45/16).</w:t>
      </w:r>
    </w:p>
    <w:p>
      <w:pPr>
        <w:pStyle w:val="4"/>
        <w:ind w:firstLine="720"/>
        <w:jc w:val="both"/>
        <w:rPr>
          <w:rFonts w:ascii="Arial" w:hAnsi="Arial" w:cs="Arial"/>
          <w:sz w:val="20"/>
          <w:szCs w:val="20"/>
          <w:lang w:val="sr-Cyrl-CS"/>
        </w:rPr>
      </w:pPr>
    </w:p>
    <w:p>
      <w:pPr>
        <w:pStyle w:val="4"/>
        <w:ind w:firstLine="720"/>
        <w:jc w:val="both"/>
        <w:rPr>
          <w:rFonts w:ascii="Arial" w:hAnsi="Arial" w:cs="Arial"/>
          <w:sz w:val="20"/>
          <w:szCs w:val="20"/>
          <w:lang w:val="sr-Cyrl-CS"/>
        </w:rPr>
      </w:pPr>
      <w:r>
        <w:rPr>
          <w:rFonts w:ascii="Arial" w:hAnsi="Arial" w:cs="Arial"/>
          <w:sz w:val="20"/>
          <w:szCs w:val="20"/>
          <w:lang w:val="sr-Cyrl-CS"/>
        </w:rPr>
        <w:t>Планом парцелације који је саставни дио Детаљног урбанистичког плана Жабљак формирана је, између осталих и урбанистичка парцела број 476, а која обухвата катастарску парцелу број 3428, површине 289 м² и катастарску парцелу број 3428/1 - породична стамбена зграда површине 49 м² уписане у листу непокретности број 536, КО Жабљак 1, на Томчић Дару, као имаоца права са уписаним теретом и ограничењем на катастарској парцели број 3428 - забрана отуђења и оптерећења на површини од 38 м² а који дио је, с обзиром да се ради о грађевинском земљишту, у својини Црне Горе са правом располагања Општине Жабљак тако да је ради докомплетирања наведене урбанистичке парцеле и брисања забиљежбе терета и ограничења неопходно пренијети право својине на дијелу катастарске парцеле број 3428 у површини од 38 м² на Томчић Дару.</w:t>
      </w:r>
    </w:p>
    <w:p>
      <w:pPr>
        <w:pStyle w:val="4"/>
        <w:ind w:firstLine="720"/>
        <w:jc w:val="both"/>
        <w:rPr>
          <w:rFonts w:ascii="Arial" w:hAnsi="Arial" w:cs="Arial"/>
          <w:sz w:val="20"/>
          <w:szCs w:val="20"/>
          <w:lang w:val="sr-Cyrl-CS"/>
        </w:rPr>
      </w:pPr>
    </w:p>
    <w:p>
      <w:pPr>
        <w:pStyle w:val="4"/>
        <w:ind w:firstLine="720"/>
        <w:jc w:val="both"/>
        <w:rPr>
          <w:rFonts w:ascii="Arial" w:hAnsi="Arial" w:cs="Arial"/>
          <w:sz w:val="20"/>
          <w:szCs w:val="20"/>
          <w:lang w:val="sr-Cyrl-CS"/>
        </w:rPr>
      </w:pPr>
      <w:r>
        <w:rPr>
          <w:rFonts w:ascii="Arial" w:hAnsi="Arial" w:cs="Arial"/>
          <w:sz w:val="20"/>
          <w:szCs w:val="20"/>
          <w:lang w:val="sr-Cyrl-CS"/>
        </w:rPr>
        <w:t>Томчић Дара је власник грађевинског земљишта у захвату Детаљног урбанистичког плана Жабљак, а које обухвата урбанистичка парцела број 476, и то катастарске парцеле број 3428, површине 289 м² и катастарске парцеле број 3428/1 - породична стамбена зграда површине 49 м² са забиљежбом терета и ограничења на катастарској парцели број 3428 - забрана отуђења и оптерећења на површини од 38 м²  уписаним у листу непокретности број</w:t>
      </w:r>
      <w:r>
        <w:rPr>
          <w:rFonts w:ascii="Arial" w:hAnsi="Arial" w:cs="Arial"/>
          <w:sz w:val="20"/>
          <w:szCs w:val="20"/>
          <w:lang w:val="sr-Latn-CS"/>
        </w:rPr>
        <w:t xml:space="preserve"> </w:t>
      </w:r>
      <w:r>
        <w:rPr>
          <w:rFonts w:ascii="Arial" w:hAnsi="Arial" w:cs="Arial"/>
          <w:sz w:val="20"/>
          <w:szCs w:val="20"/>
          <w:lang w:val="sr-Cyrl-CS"/>
        </w:rPr>
        <w:t>536</w:t>
      </w:r>
      <w:r>
        <w:rPr>
          <w:rFonts w:ascii="Arial" w:hAnsi="Arial" w:cs="Arial"/>
          <w:sz w:val="20"/>
          <w:szCs w:val="20"/>
          <w:lang w:val="sr-Latn-CS"/>
        </w:rPr>
        <w:t xml:space="preserve"> </w:t>
      </w:r>
      <w:r>
        <w:rPr>
          <w:rFonts w:ascii="Arial" w:hAnsi="Arial" w:cs="Arial"/>
          <w:sz w:val="20"/>
          <w:szCs w:val="20"/>
          <w:lang w:val="sr-Cyrl-CS"/>
        </w:rPr>
        <w:t>КО Жабљак 1</w:t>
      </w:r>
      <w:r>
        <w:rPr>
          <w:rFonts w:ascii="Arial" w:hAnsi="Arial" w:cs="Arial"/>
          <w:sz w:val="20"/>
          <w:szCs w:val="20"/>
          <w:lang w:val="sr-Latn-CS"/>
        </w:rPr>
        <w:t>.</w:t>
      </w:r>
    </w:p>
    <w:p>
      <w:pPr>
        <w:pStyle w:val="4"/>
        <w:jc w:val="both"/>
        <w:rPr>
          <w:rFonts w:ascii="Arial" w:hAnsi="Arial" w:cs="Arial"/>
          <w:sz w:val="20"/>
          <w:szCs w:val="20"/>
          <w:lang w:val="sr-Latn-CS"/>
        </w:rPr>
      </w:pPr>
    </w:p>
    <w:p>
      <w:pPr>
        <w:pStyle w:val="4"/>
        <w:jc w:val="both"/>
        <w:rPr>
          <w:rFonts w:ascii="Arial" w:hAnsi="Arial" w:cs="Arial"/>
          <w:sz w:val="20"/>
          <w:szCs w:val="20"/>
          <w:lang w:val="sr-Latn-CS"/>
        </w:rPr>
      </w:pPr>
    </w:p>
    <w:p>
      <w:pPr>
        <w:pStyle w:val="4"/>
        <w:ind w:firstLine="720"/>
        <w:jc w:val="both"/>
        <w:rPr>
          <w:rFonts w:ascii="Arial" w:hAnsi="Arial" w:cs="Arial"/>
          <w:sz w:val="20"/>
          <w:szCs w:val="20"/>
          <w:lang w:val="sr-Cyrl-CS"/>
        </w:rPr>
      </w:pPr>
      <w:r>
        <w:rPr>
          <w:rFonts w:ascii="Arial" w:hAnsi="Arial" w:cs="Arial"/>
          <w:sz w:val="20"/>
          <w:szCs w:val="20"/>
          <w:lang w:val="sr-Cyrl-CS"/>
        </w:rPr>
        <w:t>Формирањем урбанистичке парцеле број 476 припојена јој је у цјелини катастарска парцела број 3428 површине 289 м</w:t>
      </w:r>
      <w:r>
        <w:rPr>
          <w:rFonts w:ascii="Arial" w:hAnsi="Arial" w:cs="Arial"/>
          <w:sz w:val="20"/>
          <w:szCs w:val="20"/>
          <w:lang w:val="sr-Latn-CS"/>
        </w:rPr>
        <w:t xml:space="preserve">² </w:t>
      </w:r>
      <w:r>
        <w:rPr>
          <w:rFonts w:ascii="Arial" w:hAnsi="Arial" w:cs="Arial"/>
          <w:sz w:val="20"/>
          <w:szCs w:val="20"/>
          <w:lang w:val="sr-Cyrl-CS"/>
        </w:rPr>
        <w:t xml:space="preserve">па је Томчић Дара у обавези да плати Општини Жабљак накнаду на име њеног докомплетирања у складу да са Одлуком о накнади за докомплетирање урбанистичких парцела пошто наведена урбанистичка парцела припада 1А грађевинској зони сходно Одлуци о накнади за комунално опремање грађевинског земљишта (''Сл. лист ЦГ - Општински прописи'', бр. </w:t>
      </w:r>
      <w:r>
        <w:rPr>
          <w:rFonts w:ascii="Arial" w:hAnsi="Arial" w:cs="Arial"/>
          <w:sz w:val="20"/>
          <w:szCs w:val="20"/>
          <w:lang w:val="sr-Latn-CS"/>
        </w:rPr>
        <w:t xml:space="preserve">18/09, 21/13 </w:t>
      </w:r>
      <w:r>
        <w:rPr>
          <w:rFonts w:ascii="Arial" w:hAnsi="Arial" w:cs="Arial"/>
          <w:sz w:val="20"/>
          <w:szCs w:val="20"/>
          <w:lang w:val="sr-Cyrl-CS"/>
        </w:rPr>
        <w:t>и</w:t>
      </w:r>
      <w:r>
        <w:rPr>
          <w:rFonts w:ascii="Arial" w:hAnsi="Arial" w:cs="Arial"/>
          <w:sz w:val="20"/>
          <w:szCs w:val="20"/>
          <w:lang w:val="sr-Latn-CS"/>
        </w:rPr>
        <w:t xml:space="preserve"> 32/16</w:t>
      </w:r>
      <w:r>
        <w:rPr>
          <w:rFonts w:ascii="Arial" w:hAnsi="Arial" w:cs="Arial"/>
          <w:sz w:val="20"/>
          <w:szCs w:val="20"/>
          <w:lang w:val="sr-Cyrl-CS"/>
        </w:rPr>
        <w:t>).</w:t>
      </w:r>
    </w:p>
    <w:p>
      <w:pPr>
        <w:pStyle w:val="4"/>
        <w:ind w:firstLine="720"/>
        <w:jc w:val="both"/>
        <w:rPr>
          <w:rFonts w:ascii="Arial" w:hAnsi="Arial" w:cs="Arial"/>
          <w:sz w:val="20"/>
          <w:szCs w:val="20"/>
          <w:lang w:val="sr-Cyrl-CS"/>
        </w:rPr>
      </w:pPr>
    </w:p>
    <w:p>
      <w:pPr>
        <w:pStyle w:val="4"/>
        <w:jc w:val="both"/>
        <w:rPr>
          <w:rFonts w:ascii="Arial" w:hAnsi="Arial" w:cs="Arial"/>
          <w:sz w:val="20"/>
          <w:szCs w:val="20"/>
          <w:lang w:val="sr-Cyrl-CS"/>
        </w:rPr>
      </w:pPr>
    </w:p>
    <w:p>
      <w:pPr>
        <w:pStyle w:val="4"/>
        <w:ind w:firstLine="720"/>
        <w:jc w:val="both"/>
        <w:rPr>
          <w:rFonts w:ascii="Arial" w:hAnsi="Arial" w:cs="Arial"/>
          <w:sz w:val="20"/>
          <w:szCs w:val="20"/>
          <w:lang w:val="sr-Cyrl-CS"/>
        </w:rPr>
      </w:pPr>
      <w:r>
        <w:rPr>
          <w:rFonts w:ascii="Arial" w:hAnsi="Arial" w:cs="Arial"/>
          <w:sz w:val="20"/>
          <w:szCs w:val="20"/>
          <w:lang w:val="sr-Cyrl-CS"/>
        </w:rPr>
        <w:t>С обзиром да је дио катастарске парцеле број 3428 са теретом и ограничењем - забрана отуђења и оптерећења на површини од 38 м² у својини Црне Горе те да је Општина Жабљак носилац права располагања оцијењено је да су испуњени законом прописани услови за пренос права својине на дијелу предметне катастарске парцеле уз накнаду на Томчић Дару ради докомплетирања урбанистичке парцеле број 476 у обухвату Детаљног урбанистичког плана Жабљак будући да је и Црна Гора, као власник грађевинског земљишта дужна да</w:t>
      </w:r>
      <w:r>
        <w:rPr>
          <w:rFonts w:ascii="Arial" w:hAnsi="Arial" w:cs="Arial"/>
          <w:sz w:val="20"/>
          <w:szCs w:val="20"/>
          <w:lang w:val="sr-Latn-CS"/>
        </w:rPr>
        <w:t xml:space="preserve"> </w:t>
      </w:r>
      <w:r>
        <w:rPr>
          <w:rFonts w:ascii="Arial" w:hAnsi="Arial" w:cs="Arial"/>
          <w:sz w:val="20"/>
          <w:szCs w:val="20"/>
          <w:lang w:val="sr-Cyrl-CS"/>
        </w:rPr>
        <w:t xml:space="preserve">сходно одредбама члана 59 Закона о уређењу простора и изградњи објеката (''Сл. лист ЦГ'', бр. </w:t>
      </w:r>
      <w:r>
        <w:rPr>
          <w:rFonts w:ascii="Arial" w:hAnsi="Arial" w:cs="Arial"/>
          <w:sz w:val="20"/>
          <w:szCs w:val="20"/>
          <w:lang w:val="sr-Latn-CS"/>
        </w:rPr>
        <w:t>51/08, 40/10, 34/11, 47/11, 35/13</w:t>
      </w:r>
      <w:r>
        <w:rPr>
          <w:rFonts w:ascii="Arial" w:hAnsi="Arial" w:cs="Arial"/>
          <w:sz w:val="20"/>
          <w:szCs w:val="20"/>
          <w:lang w:val="sr-Cyrl-CS"/>
        </w:rPr>
        <w:t>,</w:t>
      </w:r>
      <w:r>
        <w:rPr>
          <w:rFonts w:ascii="Arial" w:hAnsi="Arial" w:cs="Arial"/>
          <w:sz w:val="20"/>
          <w:szCs w:val="20"/>
          <w:lang w:val="sr-Latn-CS"/>
        </w:rPr>
        <w:t xml:space="preserve"> 39/13</w:t>
      </w:r>
      <w:r>
        <w:rPr>
          <w:rFonts w:ascii="Arial" w:hAnsi="Arial" w:cs="Arial"/>
          <w:sz w:val="20"/>
          <w:szCs w:val="20"/>
          <w:lang w:val="sr-Cyrl-CS"/>
        </w:rPr>
        <w:t xml:space="preserve"> и 33/14) трпи промјене граница урбанистичке парцеле, у скаду са планом парцелације.</w:t>
      </w:r>
    </w:p>
    <w:p>
      <w:pPr>
        <w:pStyle w:val="4"/>
        <w:ind w:firstLine="720"/>
        <w:jc w:val="both"/>
        <w:rPr>
          <w:rFonts w:ascii="Arial" w:hAnsi="Arial" w:cs="Arial"/>
          <w:sz w:val="20"/>
          <w:szCs w:val="20"/>
          <w:lang w:val="sr-Cyrl-CS"/>
        </w:rPr>
      </w:pPr>
    </w:p>
    <w:p>
      <w:pPr>
        <w:pStyle w:val="4"/>
        <w:ind w:firstLine="720"/>
        <w:jc w:val="both"/>
        <w:rPr>
          <w:rFonts w:ascii="Arial" w:hAnsi="Arial" w:cs="Arial"/>
          <w:sz w:val="20"/>
          <w:szCs w:val="20"/>
          <w:lang w:val="sr-Cyrl-CS"/>
        </w:rPr>
      </w:pPr>
      <w:r>
        <w:rPr>
          <w:rFonts w:ascii="Arial" w:hAnsi="Arial" w:cs="Arial"/>
          <w:sz w:val="20"/>
          <w:szCs w:val="20"/>
          <w:lang w:val="sr-Cyrl-CS"/>
        </w:rPr>
        <w:t xml:space="preserve"> </w:t>
      </w:r>
    </w:p>
    <w:p>
      <w:pPr>
        <w:pStyle w:val="4"/>
        <w:ind w:firstLine="720"/>
        <w:jc w:val="both"/>
        <w:rPr>
          <w:rFonts w:ascii="Arial" w:hAnsi="Arial" w:cs="Arial"/>
          <w:b/>
          <w:sz w:val="20"/>
          <w:szCs w:val="20"/>
          <w:lang w:val="sr-Cyrl-CS"/>
        </w:rPr>
      </w:pPr>
      <w:r>
        <w:rPr>
          <w:rFonts w:ascii="Arial" w:hAnsi="Arial" w:cs="Arial"/>
          <w:b/>
          <w:sz w:val="20"/>
          <w:szCs w:val="20"/>
          <w:lang w:val="sr-Cyrl-CS"/>
        </w:rPr>
        <w:t>3</w:t>
      </w:r>
      <w:r>
        <w:rPr>
          <w:rFonts w:ascii="Arial" w:hAnsi="Arial" w:cs="Arial"/>
          <w:b/>
          <w:sz w:val="20"/>
          <w:szCs w:val="20"/>
          <w:lang w:val="sr-Latn-CS"/>
        </w:rPr>
        <w:t>.</w:t>
      </w:r>
      <w:r>
        <w:rPr>
          <w:rFonts w:ascii="Arial" w:hAnsi="Arial" w:cs="Arial"/>
          <w:b/>
          <w:sz w:val="20"/>
          <w:szCs w:val="20"/>
          <w:lang w:val="sr-Cyrl-CS"/>
        </w:rPr>
        <w:t xml:space="preserve"> ФИНАНСИЈСКА СРЕДСТВА</w:t>
      </w:r>
    </w:p>
    <w:p>
      <w:pPr>
        <w:pStyle w:val="4"/>
        <w:jc w:val="both"/>
        <w:rPr>
          <w:rFonts w:ascii="Arial" w:hAnsi="Arial" w:cs="Arial"/>
          <w:sz w:val="20"/>
          <w:szCs w:val="20"/>
          <w:lang w:val="sr-Cyrl-CS"/>
        </w:rPr>
      </w:pPr>
    </w:p>
    <w:p>
      <w:pPr>
        <w:pStyle w:val="4"/>
        <w:ind w:firstLine="720"/>
        <w:jc w:val="both"/>
        <w:rPr>
          <w:rFonts w:ascii="Arial" w:hAnsi="Arial" w:cs="Arial"/>
          <w:sz w:val="20"/>
          <w:szCs w:val="20"/>
          <w:lang w:val="sr-Cyrl-CS"/>
        </w:rPr>
      </w:pPr>
      <w:r>
        <w:rPr>
          <w:rFonts w:ascii="Arial" w:hAnsi="Arial" w:cs="Arial"/>
          <w:sz w:val="20"/>
          <w:szCs w:val="20"/>
          <w:lang w:val="sr-Cyrl-CS"/>
        </w:rPr>
        <w:t>За спровођење ове одлуке није потребно обезбиједити финансијска средства у Буџету општине Жабљак, а њеним доношењем оствариће се приход у Буџету општине Жабљак по основу накнаде коју је Томчић Дара дужна да плати Општини Жабљак на име докомплетирања урбанистичке парцеле број 476 у обухвату Детаљног урбанистичког плана Жабљак и створити претпоставке за брисање забиљежбе забране отуђења и оптерећења.</w:t>
      </w:r>
    </w:p>
    <w:p>
      <w:pPr>
        <w:pStyle w:val="4"/>
        <w:ind w:firstLine="720"/>
        <w:jc w:val="both"/>
        <w:rPr>
          <w:rFonts w:ascii="Arial" w:hAnsi="Arial" w:cs="Arial"/>
          <w:sz w:val="20"/>
          <w:szCs w:val="20"/>
          <w:lang w:val="sr-Cyrl-CS"/>
        </w:rPr>
      </w:pPr>
    </w:p>
    <w:p>
      <w:pPr>
        <w:pStyle w:val="4"/>
        <w:rPr>
          <w:rFonts w:ascii="Arial" w:hAnsi="Arial" w:cs="Arial"/>
          <w:sz w:val="20"/>
          <w:szCs w:val="20"/>
          <w:lang w:val="sr-Latn-CS"/>
        </w:rPr>
      </w:pPr>
    </w:p>
    <w:p>
      <w:pPr>
        <w:pStyle w:val="4"/>
        <w:ind w:firstLine="720"/>
        <w:jc w:val="both"/>
        <w:rPr>
          <w:rFonts w:ascii="Arial" w:hAnsi="Arial" w:cs="Arial"/>
          <w:sz w:val="20"/>
          <w:szCs w:val="20"/>
          <w:lang w:val="sr-Cyrl-CS"/>
        </w:rPr>
      </w:pPr>
      <w:r>
        <w:rPr>
          <w:rFonts w:ascii="Arial" w:hAnsi="Arial" w:cs="Arial"/>
          <w:sz w:val="20"/>
          <w:szCs w:val="20"/>
          <w:lang w:val="sr-Cyrl-CS"/>
        </w:rPr>
        <w:t>Са изложеног предлаже се Скупштини општине Жабљак да донесе Одлуку о преносу права св</w:t>
      </w:r>
      <w:r>
        <w:rPr>
          <w:rFonts w:ascii="Arial" w:hAnsi="Arial" w:cs="Arial"/>
          <w:sz w:val="20"/>
          <w:szCs w:val="20"/>
          <w:lang w:val="sr-Latn-CS"/>
        </w:rPr>
        <w:t>o</w:t>
      </w:r>
      <w:r>
        <w:rPr>
          <w:rFonts w:ascii="Arial" w:hAnsi="Arial" w:cs="Arial"/>
          <w:sz w:val="20"/>
          <w:szCs w:val="20"/>
          <w:lang w:val="sr-Cyrl-CS"/>
        </w:rPr>
        <w:t>јине на грађевинском земљишту на Томчић Дару.</w:t>
      </w:r>
    </w:p>
    <w:p>
      <w:pPr>
        <w:pStyle w:val="4"/>
        <w:ind w:firstLine="720"/>
        <w:jc w:val="both"/>
        <w:rPr>
          <w:rFonts w:ascii="Arial" w:hAnsi="Arial" w:cs="Arial"/>
          <w:sz w:val="20"/>
          <w:szCs w:val="20"/>
          <w:lang w:val="sr-Cyrl-CS"/>
        </w:rPr>
      </w:pPr>
    </w:p>
    <w:p>
      <w:pPr>
        <w:pStyle w:val="4"/>
        <w:jc w:val="both"/>
        <w:rPr>
          <w:rFonts w:ascii="Arial" w:hAnsi="Arial" w:cs="Arial"/>
          <w:sz w:val="20"/>
          <w:szCs w:val="20"/>
          <w:lang w:val="sr-Latn-CS"/>
        </w:rPr>
      </w:pPr>
    </w:p>
    <w:p>
      <w:pPr>
        <w:pStyle w:val="4"/>
        <w:jc w:val="center"/>
        <w:rPr>
          <w:rFonts w:ascii="Arial" w:hAnsi="Arial" w:cs="Arial"/>
          <w:b/>
          <w:sz w:val="20"/>
          <w:szCs w:val="20"/>
          <w:lang w:val="sr-Latn-CS"/>
        </w:rPr>
      </w:pPr>
      <w:r>
        <w:rPr>
          <w:rFonts w:ascii="Arial" w:hAnsi="Arial" w:cs="Arial"/>
          <w:b/>
          <w:sz w:val="20"/>
          <w:szCs w:val="20"/>
          <w:lang w:val="sr-Cyrl-CS"/>
        </w:rPr>
        <w:t>ОБРАЂИВАЧ</w:t>
      </w:r>
      <w:r>
        <w:rPr>
          <w:rFonts w:ascii="Arial" w:hAnsi="Arial" w:cs="Arial"/>
          <w:b/>
          <w:sz w:val="20"/>
          <w:szCs w:val="20"/>
          <w:lang w:val="sr-Latn-CS"/>
        </w:rPr>
        <w:t>:</w:t>
      </w:r>
    </w:p>
    <w:p>
      <w:pPr>
        <w:pStyle w:val="4"/>
        <w:rPr>
          <w:rFonts w:ascii="Arial" w:hAnsi="Arial" w:cs="Arial"/>
          <w:b/>
          <w:sz w:val="20"/>
          <w:szCs w:val="20"/>
          <w:lang w:val="sr-Latn-CS"/>
        </w:rPr>
      </w:pPr>
    </w:p>
    <w:p>
      <w:pPr>
        <w:pStyle w:val="4"/>
        <w:jc w:val="center"/>
        <w:rPr>
          <w:rFonts w:ascii="Arial" w:hAnsi="Arial" w:cs="Arial"/>
          <w:sz w:val="20"/>
          <w:szCs w:val="20"/>
          <w:lang w:val="sr-Cyrl-CS"/>
        </w:rPr>
      </w:pPr>
      <w:r>
        <w:rPr>
          <w:rFonts w:ascii="Arial" w:hAnsi="Arial" w:cs="Arial"/>
          <w:sz w:val="20"/>
          <w:szCs w:val="20"/>
          <w:lang w:val="sr-Cyrl-CS"/>
        </w:rPr>
        <w:t>Секретаријат за уређење простора,</w:t>
      </w:r>
    </w:p>
    <w:p>
      <w:pPr>
        <w:pStyle w:val="4"/>
        <w:jc w:val="center"/>
        <w:rPr>
          <w:rFonts w:ascii="Arial" w:hAnsi="Arial" w:cs="Arial"/>
          <w:sz w:val="20"/>
          <w:szCs w:val="20"/>
          <w:lang w:val="sr-Cyrl-CS"/>
        </w:rPr>
      </w:pPr>
      <w:r>
        <w:rPr>
          <w:rFonts w:ascii="Arial" w:hAnsi="Arial" w:cs="Arial"/>
          <w:sz w:val="20"/>
          <w:szCs w:val="20"/>
          <w:lang w:val="sr-Cyrl-CS"/>
        </w:rPr>
        <w:t>заштиту животне средине и комунално стамбене послове</w:t>
      </w:r>
    </w:p>
    <w:p>
      <w:pPr>
        <w:pStyle w:val="4"/>
        <w:jc w:val="center"/>
        <w:rPr>
          <w:rFonts w:ascii="Arial" w:hAnsi="Arial" w:cs="Arial"/>
          <w:sz w:val="20"/>
          <w:szCs w:val="20"/>
          <w:lang w:val="sr-Latn-CS"/>
        </w:rPr>
      </w:pPr>
    </w:p>
    <w:p>
      <w:pPr>
        <w:pStyle w:val="4"/>
        <w:jc w:val="center"/>
        <w:rPr>
          <w:rFonts w:ascii="Arial" w:hAnsi="Arial" w:cs="Arial"/>
          <w:sz w:val="20"/>
          <w:szCs w:val="20"/>
          <w:lang w:val="sr-Latn-CS"/>
        </w:rPr>
      </w:pPr>
    </w:p>
    <w:p>
      <w:pPr>
        <w:pStyle w:val="4"/>
        <w:jc w:val="both"/>
        <w:rPr>
          <w:rFonts w:ascii="Arial" w:hAnsi="Arial" w:cs="Arial"/>
          <w:sz w:val="20"/>
          <w:szCs w:val="20"/>
          <w:lang w:val="sr-Latn-CS"/>
        </w:rPr>
      </w:pPr>
    </w:p>
    <w:p>
      <w:pPr>
        <w:pStyle w:val="4"/>
        <w:jc w:val="both"/>
        <w:rPr>
          <w:rFonts w:ascii="Arial" w:hAnsi="Arial" w:cs="Arial"/>
          <w:sz w:val="20"/>
          <w:szCs w:val="20"/>
          <w:lang w:val="sr-Latn-CS"/>
        </w:rPr>
      </w:pPr>
    </w:p>
    <w:p>
      <w:pPr>
        <w:pStyle w:val="4"/>
        <w:jc w:val="both"/>
        <w:rPr>
          <w:rFonts w:ascii="Arial" w:hAnsi="Arial" w:cs="Arial"/>
          <w:sz w:val="20"/>
          <w:szCs w:val="20"/>
          <w:lang w:val="sr-Latn-CS"/>
        </w:rPr>
      </w:pPr>
    </w:p>
    <w:p>
      <w:pPr>
        <w:pStyle w:val="4"/>
        <w:jc w:val="both"/>
        <w:rPr>
          <w:rFonts w:ascii="Arial" w:hAnsi="Arial" w:cs="Arial"/>
          <w:sz w:val="20"/>
          <w:szCs w:val="20"/>
          <w:lang w:val="sr-Latn-CS"/>
        </w:rPr>
      </w:pPr>
    </w:p>
    <w:p>
      <w:pPr>
        <w:pStyle w:val="4"/>
        <w:jc w:val="both"/>
        <w:rPr>
          <w:rFonts w:ascii="Arial" w:hAnsi="Arial" w:cs="Arial"/>
          <w:sz w:val="20"/>
          <w:szCs w:val="20"/>
          <w:lang w:val="sr-Latn-CS"/>
        </w:rPr>
      </w:pPr>
    </w:p>
    <w:p>
      <w:pPr>
        <w:pStyle w:val="4"/>
        <w:jc w:val="both"/>
        <w:rPr>
          <w:rFonts w:ascii="Arial" w:hAnsi="Arial" w:cs="Arial"/>
          <w:sz w:val="20"/>
          <w:szCs w:val="20"/>
          <w:lang w:val="sr-Latn-CS"/>
        </w:rPr>
      </w:pPr>
    </w:p>
    <w:p>
      <w:pPr>
        <w:pStyle w:val="4"/>
        <w:jc w:val="both"/>
        <w:rPr>
          <w:rFonts w:ascii="Arial" w:hAnsi="Arial" w:cs="Arial"/>
          <w:sz w:val="20"/>
          <w:szCs w:val="20"/>
          <w:lang w:val="sr-Latn-CS"/>
        </w:rPr>
      </w:pPr>
    </w:p>
    <w:p>
      <w:pPr>
        <w:pStyle w:val="4"/>
        <w:jc w:val="both"/>
        <w:rPr>
          <w:rFonts w:ascii="Arial" w:hAnsi="Arial" w:cs="Arial"/>
          <w:sz w:val="20"/>
          <w:szCs w:val="20"/>
          <w:lang w:val="sr-Latn-CS"/>
        </w:rPr>
      </w:pPr>
    </w:p>
    <w:p>
      <w:pPr>
        <w:pStyle w:val="4"/>
        <w:jc w:val="both"/>
        <w:rPr>
          <w:rFonts w:ascii="Arial" w:hAnsi="Arial" w:cs="Arial"/>
          <w:sz w:val="20"/>
          <w:szCs w:val="20"/>
          <w:lang w:val="sr-Latn-CS"/>
        </w:rPr>
      </w:pPr>
    </w:p>
    <w:p>
      <w:pPr>
        <w:pStyle w:val="4"/>
        <w:jc w:val="both"/>
        <w:rPr>
          <w:rFonts w:ascii="Arial" w:hAnsi="Arial" w:cs="Arial"/>
          <w:sz w:val="20"/>
          <w:szCs w:val="20"/>
          <w:lang w:val="sr-Latn-CS"/>
        </w:rPr>
      </w:pPr>
    </w:p>
    <w:p>
      <w:pPr>
        <w:pStyle w:val="4"/>
        <w:jc w:val="both"/>
        <w:rPr>
          <w:rFonts w:ascii="Arial" w:hAnsi="Arial" w:cs="Arial"/>
          <w:sz w:val="20"/>
          <w:szCs w:val="20"/>
        </w:rPr>
      </w:pPr>
    </w:p>
    <w:p>
      <w:pPr>
        <w:pStyle w:val="4"/>
        <w:jc w:val="both"/>
        <w:rPr>
          <w:rFonts w:ascii="Arial" w:hAnsi="Arial" w:cs="Arial"/>
          <w:sz w:val="20"/>
          <w:szCs w:val="20"/>
        </w:rPr>
      </w:pPr>
    </w:p>
    <w:p>
      <w:pPr>
        <w:pStyle w:val="4"/>
        <w:jc w:val="both"/>
        <w:rPr>
          <w:rFonts w:ascii="Arial" w:hAnsi="Arial" w:cs="Arial"/>
          <w:sz w:val="20"/>
          <w:szCs w:val="20"/>
        </w:rPr>
      </w:pPr>
    </w:p>
    <w:p>
      <w:pPr>
        <w:pStyle w:val="4"/>
        <w:jc w:val="both"/>
        <w:rPr>
          <w:rFonts w:ascii="Arial" w:hAnsi="Arial" w:cs="Arial"/>
          <w:sz w:val="20"/>
          <w:szCs w:val="20"/>
        </w:rPr>
      </w:pPr>
    </w:p>
    <w:p>
      <w:pPr>
        <w:pStyle w:val="4"/>
        <w:jc w:val="both"/>
        <w:rPr>
          <w:rFonts w:ascii="Arial" w:hAnsi="Arial" w:cs="Arial"/>
          <w:sz w:val="20"/>
          <w:szCs w:val="20"/>
        </w:rPr>
      </w:pPr>
    </w:p>
    <w:p>
      <w:pPr>
        <w:rPr>
          <w:sz w:val="20"/>
          <w:szCs w:val="20"/>
        </w:rPr>
      </w:pPr>
    </w:p>
    <w:p>
      <w:pPr>
        <w:rPr>
          <w:sz w:val="20"/>
          <w:szCs w:val="20"/>
        </w:rPr>
      </w:pPr>
    </w:p>
    <w:p>
      <w:pPr>
        <w:rPr>
          <w:sz w:val="20"/>
          <w:szCs w:val="20"/>
        </w:rPr>
      </w:pPr>
    </w:p>
    <w:p/>
    <w:p/>
    <w:sectPr>
      <w:pgSz w:w="12240" w:h="15840"/>
      <w:pgMar w:top="1440" w:right="900" w:bottom="99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Arial Rounded MT Bold"/>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00007A87" w:usb1="80000000" w:usb2="00000008" w:usb3="00000000" w:csb0="400001FF" w:csb1="FFFF0000"/>
  </w:font>
  <w:font w:name="黑体">
    <w:altName w:val="Arial Rounded MT Bold"/>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00007A87" w:usb1="80000000" w:usb2="00000008" w:usb3="00000000" w:csb0="400001FF" w:csb1="FFFF0000"/>
  </w:font>
  <w:font w:name="Cambria">
    <w:altName w:val="Shruti"/>
    <w:panose1 w:val="02040503050406030204"/>
    <w:charset w:val="00"/>
    <w:family w:val="roman"/>
    <w:pitch w:val="default"/>
    <w:sig w:usb0="00000000" w:usb1="00000000" w:usb2="00000000" w:usb3="00000000" w:csb0="0000019F" w:csb1="00000000"/>
  </w:font>
  <w:font w:name="Calibri">
    <w:altName w:val="Arial Rounded MT Bold"/>
    <w:panose1 w:val="020F0502020204030204"/>
    <w:charset w:val="86"/>
    <w:family w:val="swiss"/>
    <w:pitch w:val="default"/>
    <w:sig w:usb0="00000000" w:usb1="00000000" w:usb2="00000001" w:usb3="00000000" w:csb0="0000019F" w:csb1="00000000"/>
  </w:font>
  <w:font w:name="SimSun">
    <w:altName w:val="Arial Rounded MT Bold"/>
    <w:panose1 w:val="00000000000000000000"/>
    <w:charset w:val="86"/>
    <w:family w:val="auto"/>
    <w:pitch w:val="default"/>
    <w:sig w:usb0="00000000" w:usb1="00000000" w:usb2="00000000" w:usb3="00000000" w:csb0="00000000" w:csb1="00000000"/>
  </w:font>
  <w:font w:name="SimSun">
    <w:altName w:val="Arial Rounded MT Bold"/>
    <w:panose1 w:val="02010600030101010101"/>
    <w:charset w:val="86"/>
    <w:family w:val="auto"/>
    <w:pitch w:val="default"/>
    <w:sig w:usb0="00000000" w:usb1="00000000" w:usb2="00000010" w:usb3="00000000" w:csb0="00040001" w:csb1="00000000"/>
  </w:font>
  <w:font w:name="Calibri">
    <w:altName w:val="Arial Rounded MT Bold"/>
    <w:panose1 w:val="020F0502020204030204"/>
    <w:charset w:val="86"/>
    <w:family w:val="swiss"/>
    <w:pitch w:val="default"/>
    <w:sig w:usb0="00000000" w:usb1="00000000" w:usb2="00000001" w:usb3="00000000" w:csb0="0000019F" w:csb1="00000000"/>
  </w:font>
  <w:font w:name="Arial Rounded MT Bold">
    <w:panose1 w:val="020F0704030504030204"/>
    <w:charset w:val="00"/>
    <w:family w:val="auto"/>
    <w:pitch w:val="default"/>
    <w:sig w:usb0="00000003" w:usb1="00000000" w:usb2="00000000" w:usb3="00000000" w:csb0="20000001" w:csb1="00000000"/>
  </w:font>
  <w:font w:name="Calibri">
    <w:altName w:val="Arial Rounded MT Bold"/>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C84DE4"/>
    <w:multiLevelType w:val="multilevel"/>
    <w:tmpl w:val="1CC84DE4"/>
    <w:lvl w:ilvl="0" w:tentative="0">
      <w:start w:val="1"/>
      <w:numFmt w:val="decimal"/>
      <w:lvlText w:val="%1."/>
      <w:lvlJc w:val="left"/>
      <w:pPr>
        <w:ind w:left="108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2"/>
  </w:compat>
  <w:rsids>
    <w:rsidRoot w:val="007258C5"/>
    <w:rsid w:val="00025753"/>
    <w:rsid w:val="000E717A"/>
    <w:rsid w:val="00253989"/>
    <w:rsid w:val="002C4583"/>
    <w:rsid w:val="0040411D"/>
    <w:rsid w:val="0045448C"/>
    <w:rsid w:val="00636CA9"/>
    <w:rsid w:val="00643BD0"/>
    <w:rsid w:val="006C3717"/>
    <w:rsid w:val="007258C5"/>
    <w:rsid w:val="00A77E81"/>
    <w:rsid w:val="00B54B11"/>
    <w:rsid w:val="00DC1BB1"/>
    <w:rsid w:val="3B5248E5"/>
    <w:rsid w:val="688A7D91"/>
    <w:rsid w:val="74DC346A"/>
  </w:rsids>
  <m:mathPr>
    <m:lMargin m:val="0"/>
    <m:mathFont m:val="Cambria Math"/>
    <m:rMargin m:val="0"/>
    <m:wrapIndent m:val="1440"/>
    <m:brkBin m:val="before"/>
    <m:brkBinSub m:val="--"/>
    <m:defJc m:val="centerGroup"/>
    <m:intLim m:val="subSup"/>
    <m:naryLim m:val="undOvr"/>
    <m:smallFrac m:val="off"/>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unhideWhenUsed/>
    <w:uiPriority w:val="1"/>
  </w:style>
  <w:style w:type="table" w:default="1" w:styleId="3">
    <w:name w:val="Normal Table"/>
    <w:unhideWhenUsed/>
    <w:qFormat/>
    <w:uiPriority w:val="99"/>
    <w:tblPr>
      <w:tblLayout w:type="fixed"/>
      <w:tblCellMar>
        <w:top w:w="0" w:type="dxa"/>
        <w:left w:w="108" w:type="dxa"/>
        <w:bottom w:w="0" w:type="dxa"/>
        <w:right w:w="108" w:type="dxa"/>
      </w:tblCellMar>
    </w:tblPr>
  </w:style>
  <w:style w:type="paragraph" w:customStyle="1" w:styleId="4">
    <w:name w:val="No Spacing"/>
    <w:qFormat/>
    <w:uiPriority w:val="1"/>
    <w:pPr>
      <w:spacing w:after="0" w:line="240"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1118</Words>
  <Characters>6379</Characters>
  <Lines>53</Lines>
  <Paragraphs>14</Paragraphs>
  <ScaleCrop>false</ScaleCrop>
  <LinksUpToDate>false</LinksUpToDate>
  <CharactersWithSpaces>7483</CharactersWithSpaces>
  <Application>WPS Office_10.2.0.5871_F1E327BC-269C-435d-A152-05C5408002CA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2017-09-22T04:59:00Z</dcterms:created>
  <dc:creator>Mikan</dc:creator>
  <cp:lastModifiedBy>VESELIN</cp:lastModifiedBy>
  <dcterms:modified xsi:type="dcterms:W3CDTF">2017-10-30T06:39:53Z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1033-10.2.0.5871</vt:lpwstr>
  </property>
</Properties>
</file>